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2EFD9" w:themeColor="accent6" w:themeTint="33"/>
  <w:body>
    <w:tbl>
      <w:tblPr>
        <w:tblStyle w:val="TableGrid"/>
        <w:tblW w:w="18848" w:type="dxa"/>
        <w:tblLayout w:type="fixed"/>
        <w:tblLook w:val="01E0" w:firstRow="1" w:lastRow="1" w:firstColumn="1" w:lastColumn="1" w:noHBand="0" w:noVBand="0"/>
      </w:tblPr>
      <w:tblGrid>
        <w:gridCol w:w="704"/>
        <w:gridCol w:w="2693"/>
        <w:gridCol w:w="2694"/>
        <w:gridCol w:w="12757"/>
      </w:tblGrid>
      <w:tr w:rsidR="0012392A" w:rsidRPr="00A366B9" w:rsidTr="00A60940">
        <w:trPr>
          <w:trHeight w:val="695"/>
        </w:trPr>
        <w:tc>
          <w:tcPr>
            <w:tcW w:w="704" w:type="dxa"/>
            <w:vMerge w:val="restart"/>
          </w:tcPr>
          <w:p w:rsidR="0012392A" w:rsidRPr="00A366B9" w:rsidRDefault="0012392A" w:rsidP="0012392A">
            <w:pPr>
              <w:pStyle w:val="TableParagraph"/>
              <w:spacing w:before="240" w:after="240" w:line="276" w:lineRule="auto"/>
              <w:ind w:left="4"/>
              <w:jc w:val="both"/>
              <w:rPr>
                <w:rFonts w:ascii="Century" w:hAnsi="Century" w:cs="Times New Roman"/>
                <w:b/>
                <w:bCs/>
                <w:sz w:val="24"/>
                <w:szCs w:val="24"/>
              </w:rPr>
            </w:pPr>
            <w:r w:rsidRPr="00A366B9">
              <w:rPr>
                <w:rFonts w:ascii="Century" w:hAnsi="Century" w:cs="Times New Roman"/>
                <w:b/>
                <w:bCs/>
                <w:spacing w:val="-5"/>
                <w:w w:val="95"/>
                <w:sz w:val="24"/>
                <w:szCs w:val="24"/>
              </w:rPr>
              <w:t>1.7</w:t>
            </w:r>
          </w:p>
        </w:tc>
        <w:tc>
          <w:tcPr>
            <w:tcW w:w="2693" w:type="dxa"/>
            <w:vMerge w:val="restart"/>
          </w:tcPr>
          <w:p w:rsidR="0012392A" w:rsidRPr="00A366B9" w:rsidRDefault="0012392A" w:rsidP="0012392A">
            <w:pPr>
              <w:widowControl/>
              <w:adjustRightInd w:val="0"/>
              <w:spacing w:before="240" w:after="240" w:line="276" w:lineRule="auto"/>
              <w:rPr>
                <w:rFonts w:ascii="Arial" w:eastAsiaTheme="minorHAnsi" w:hAnsi="Arial" w:cs="Arial"/>
                <w:b/>
                <w:bCs/>
                <w:sz w:val="24"/>
                <w:szCs w:val="24"/>
                <w:lang w:val="en-IN" w:bidi="hi-IN"/>
              </w:rPr>
            </w:pPr>
            <w:r w:rsidRPr="00A366B9">
              <w:rPr>
                <w:rFonts w:ascii="Arial" w:eastAsiaTheme="minorHAnsi" w:hAnsi="Arial" w:cs="Arial"/>
                <w:b/>
                <w:bCs/>
                <w:sz w:val="24"/>
                <w:szCs w:val="24"/>
                <w:lang w:val="en-IN" w:bidi="hi-IN"/>
              </w:rPr>
              <w:t xml:space="preserve">Boards, Councils, Committees and other Bodies constituted as part of the Public Authority </w:t>
            </w:r>
          </w:p>
          <w:p w:rsidR="0012392A" w:rsidRPr="00A366B9" w:rsidRDefault="0012392A" w:rsidP="0012392A">
            <w:pPr>
              <w:widowControl/>
              <w:adjustRightInd w:val="0"/>
              <w:spacing w:before="240" w:after="240" w:line="276" w:lineRule="auto"/>
              <w:rPr>
                <w:rFonts w:ascii="Arial" w:eastAsiaTheme="minorHAnsi" w:hAnsi="Arial" w:cs="Arial"/>
                <w:b/>
                <w:bCs/>
                <w:sz w:val="24"/>
                <w:szCs w:val="24"/>
                <w:lang w:val="en-IN" w:bidi="hi-IN"/>
              </w:rPr>
            </w:pPr>
            <w:r w:rsidRPr="00A366B9">
              <w:rPr>
                <w:rFonts w:ascii="Arial" w:eastAsiaTheme="minorHAnsi" w:hAnsi="Arial" w:cs="Arial"/>
                <w:b/>
                <w:bCs/>
                <w:sz w:val="24"/>
                <w:szCs w:val="24"/>
                <w:lang w:val="en-IN" w:bidi="hi-IN"/>
              </w:rPr>
              <w:t>[Section 4(1)(b)(viii)]</w:t>
            </w:r>
          </w:p>
        </w:tc>
        <w:tc>
          <w:tcPr>
            <w:tcW w:w="2694" w:type="dxa"/>
          </w:tcPr>
          <w:p w:rsidR="0012392A" w:rsidRPr="00A366B9" w:rsidRDefault="0012392A" w:rsidP="0012392A">
            <w:pPr>
              <w:pStyle w:val="TableParagraph"/>
              <w:tabs>
                <w:tab w:val="left" w:pos="576"/>
                <w:tab w:val="left" w:pos="1790"/>
                <w:tab w:val="left" w:pos="2308"/>
                <w:tab w:val="left" w:pos="3613"/>
              </w:tabs>
              <w:spacing w:before="240" w:after="240" w:line="276" w:lineRule="auto"/>
              <w:ind w:right="138"/>
              <w:jc w:val="both"/>
              <w:rPr>
                <w:rFonts w:ascii="Arial" w:eastAsiaTheme="minorHAnsi" w:hAnsi="Arial" w:cs="Arial"/>
                <w:b/>
                <w:bCs/>
                <w:sz w:val="24"/>
                <w:szCs w:val="24"/>
                <w:lang w:val="en-IN" w:bidi="hi-IN"/>
              </w:rPr>
            </w:pPr>
            <w:r w:rsidRPr="00A366B9">
              <w:rPr>
                <w:rFonts w:ascii="Arial" w:eastAsiaTheme="minorHAnsi" w:hAnsi="Arial" w:cs="Arial"/>
                <w:b/>
                <w:bCs/>
                <w:sz w:val="24"/>
                <w:szCs w:val="24"/>
                <w:lang w:val="en-IN" w:bidi="hi-IN"/>
              </w:rPr>
              <w:t>(</w:t>
            </w:r>
            <w:proofErr w:type="spellStart"/>
            <w:r w:rsidRPr="00A366B9">
              <w:rPr>
                <w:rFonts w:ascii="Arial" w:eastAsiaTheme="minorHAnsi" w:hAnsi="Arial" w:cs="Arial"/>
                <w:b/>
                <w:bCs/>
                <w:sz w:val="24"/>
                <w:szCs w:val="24"/>
                <w:lang w:val="en-IN" w:bidi="hi-IN"/>
              </w:rPr>
              <w:t>i</w:t>
            </w:r>
            <w:proofErr w:type="spellEnd"/>
            <w:r w:rsidRPr="00A366B9">
              <w:rPr>
                <w:rFonts w:ascii="Arial" w:eastAsiaTheme="minorHAnsi" w:hAnsi="Arial" w:cs="Arial"/>
                <w:b/>
                <w:bCs/>
                <w:sz w:val="24"/>
                <w:szCs w:val="24"/>
                <w:lang w:val="en-IN" w:bidi="hi-IN"/>
              </w:rPr>
              <w:t>)</w:t>
            </w:r>
            <w:r w:rsidRPr="00A366B9">
              <w:rPr>
                <w:rFonts w:ascii="Arial" w:eastAsiaTheme="minorHAnsi" w:hAnsi="Arial" w:cs="Arial"/>
                <w:b/>
                <w:bCs/>
                <w:sz w:val="24"/>
                <w:szCs w:val="24"/>
                <w:lang w:val="en-IN" w:bidi="hi-IN"/>
              </w:rPr>
              <w:tab/>
              <w:t>Name of Boards, Council, Committee etc.</w:t>
            </w:r>
          </w:p>
        </w:tc>
        <w:tc>
          <w:tcPr>
            <w:tcW w:w="12757" w:type="dxa"/>
            <w:vMerge w:val="restart"/>
          </w:tcPr>
          <w:p w:rsidR="0012392A" w:rsidRPr="00A366B9" w:rsidRDefault="0012392A" w:rsidP="0012392A">
            <w:pPr>
              <w:pStyle w:val="TableParagraph"/>
              <w:numPr>
                <w:ilvl w:val="0"/>
                <w:numId w:val="2"/>
              </w:numPr>
              <w:spacing w:before="240" w:after="240" w:line="276" w:lineRule="auto"/>
              <w:ind w:left="3" w:right="142"/>
              <w:jc w:val="both"/>
              <w:rPr>
                <w:rFonts w:ascii="Arial" w:hAnsi="Arial" w:cs="Arial"/>
                <w:b/>
                <w:bCs/>
                <w:sz w:val="24"/>
                <w:szCs w:val="24"/>
              </w:rPr>
            </w:pPr>
            <w:r w:rsidRPr="00A366B9">
              <w:rPr>
                <w:rFonts w:ascii="Century" w:hAnsi="Century" w:cs="Times New Roman"/>
                <w:b/>
                <w:bCs/>
                <w:sz w:val="24"/>
                <w:szCs w:val="24"/>
              </w:rPr>
              <w:t>Details of Board of Directors can be viewed under “Board of</w:t>
            </w:r>
            <w:r w:rsidRPr="00A366B9">
              <w:rPr>
                <w:rFonts w:ascii="Century" w:hAnsi="Century" w:cs="Times New Roman"/>
                <w:b/>
                <w:bCs/>
                <w:spacing w:val="21"/>
                <w:sz w:val="24"/>
                <w:szCs w:val="24"/>
              </w:rPr>
              <w:t xml:space="preserve"> </w:t>
            </w:r>
            <w:r w:rsidRPr="00A366B9">
              <w:rPr>
                <w:rFonts w:ascii="Century" w:hAnsi="Century" w:cs="Times New Roman"/>
                <w:b/>
                <w:bCs/>
                <w:sz w:val="24"/>
                <w:szCs w:val="24"/>
              </w:rPr>
              <w:t>Directors”</w:t>
            </w:r>
            <w:r w:rsidRPr="00A366B9">
              <w:rPr>
                <w:rFonts w:ascii="Century" w:hAnsi="Century" w:cs="Times New Roman"/>
                <w:b/>
                <w:bCs/>
                <w:spacing w:val="20"/>
                <w:sz w:val="24"/>
                <w:szCs w:val="24"/>
              </w:rPr>
              <w:t xml:space="preserve"> </w:t>
            </w:r>
            <w:r w:rsidRPr="00A366B9">
              <w:rPr>
                <w:rFonts w:ascii="Century" w:hAnsi="Century" w:cs="Times New Roman"/>
                <w:b/>
                <w:bCs/>
                <w:sz w:val="24"/>
                <w:szCs w:val="24"/>
              </w:rPr>
              <w:t xml:space="preserve">tab </w:t>
            </w:r>
            <w:hyperlink r:id="rId6" w:history="1">
              <w:r w:rsidRPr="00A366B9">
                <w:rPr>
                  <w:rStyle w:val="Hyperlink"/>
                  <w:rFonts w:ascii="Century" w:hAnsi="Century" w:cs="Times New Roman"/>
                  <w:b/>
                  <w:bCs/>
                  <w:sz w:val="24"/>
                  <w:szCs w:val="24"/>
                </w:rPr>
                <w:t>https://www.aryavart-rrb.com/pressrelease/BOD.pdf</w:t>
              </w:r>
            </w:hyperlink>
            <w:r w:rsidRPr="00A366B9">
              <w:rPr>
                <w:rFonts w:ascii="Century" w:hAnsi="Century" w:cs="Times New Roman"/>
                <w:b/>
                <w:bCs/>
                <w:sz w:val="24"/>
                <w:szCs w:val="24"/>
              </w:rPr>
              <w:t xml:space="preserve">  </w:t>
            </w:r>
            <w:r w:rsidRPr="00A366B9">
              <w:rPr>
                <w:rFonts w:ascii="Arial" w:hAnsi="Arial" w:cs="Arial"/>
                <w:b/>
                <w:bCs/>
                <w:sz w:val="24"/>
                <w:szCs w:val="24"/>
              </w:rPr>
              <w:t>of the Bank’s official website.</w:t>
            </w:r>
          </w:p>
          <w:p w:rsidR="0012392A" w:rsidRDefault="0012392A" w:rsidP="00A372AB">
            <w:pPr>
              <w:pStyle w:val="TableParagraph"/>
              <w:numPr>
                <w:ilvl w:val="0"/>
                <w:numId w:val="2"/>
              </w:numPr>
              <w:spacing w:before="240" w:after="240" w:line="276" w:lineRule="auto"/>
              <w:ind w:left="3" w:right="142"/>
              <w:jc w:val="both"/>
              <w:rPr>
                <w:rFonts w:ascii="Arial" w:hAnsi="Arial" w:cs="Arial"/>
                <w:b/>
                <w:bCs/>
                <w:sz w:val="24"/>
                <w:szCs w:val="24"/>
              </w:rPr>
            </w:pPr>
            <w:r w:rsidRPr="00A366B9">
              <w:rPr>
                <w:rFonts w:ascii="Arial" w:hAnsi="Arial" w:cs="Arial"/>
                <w:b/>
                <w:bCs/>
                <w:sz w:val="24"/>
                <w:szCs w:val="24"/>
              </w:rPr>
              <w:t>Compositions of Board is governed by section 09 of THE REGIONAL RURAL BANKS ACT, 1976, which is as follows,</w:t>
            </w:r>
          </w:p>
          <w:p w:rsidR="001718CA" w:rsidRPr="00A372AB" w:rsidRDefault="001718CA" w:rsidP="00A372AB">
            <w:pPr>
              <w:pStyle w:val="TableParagraph"/>
              <w:numPr>
                <w:ilvl w:val="0"/>
                <w:numId w:val="2"/>
              </w:numPr>
              <w:spacing w:before="240" w:after="240" w:line="276" w:lineRule="auto"/>
              <w:ind w:left="3" w:right="142"/>
              <w:jc w:val="both"/>
              <w:rPr>
                <w:rFonts w:ascii="Arial" w:hAnsi="Arial" w:cs="Arial"/>
                <w:b/>
                <w:bCs/>
                <w:sz w:val="24"/>
                <w:szCs w:val="24"/>
              </w:rPr>
            </w:pPr>
            <w:r>
              <w:rPr>
                <w:rFonts w:ascii="Arial" w:hAnsi="Arial" w:cs="Arial"/>
                <w:b/>
                <w:bCs/>
                <w:sz w:val="24"/>
                <w:szCs w:val="24"/>
              </w:rPr>
              <w:t xml:space="preserve">Date of Constitution- </w:t>
            </w:r>
            <w:r w:rsidRPr="001718CA">
              <w:rPr>
                <w:rFonts w:ascii="Arial" w:hAnsi="Arial" w:cs="Arial"/>
                <w:b/>
                <w:bCs/>
                <w:sz w:val="24"/>
                <w:szCs w:val="24"/>
                <w:lang w:val="en-IN"/>
              </w:rPr>
              <w:t>01-04-2019</w:t>
            </w:r>
            <w:r>
              <w:rPr>
                <w:rFonts w:ascii="Arial" w:hAnsi="Arial" w:cs="Arial"/>
                <w:b/>
                <w:bCs/>
                <w:sz w:val="24"/>
                <w:szCs w:val="24"/>
                <w:lang w:val="en-IN"/>
              </w:rPr>
              <w:t>.</w:t>
            </w:r>
            <w:bookmarkStart w:id="0" w:name="_GoBack"/>
            <w:bookmarkEnd w:id="0"/>
          </w:p>
          <w:p w:rsidR="0012392A" w:rsidRPr="00A366B9" w:rsidRDefault="0012392A" w:rsidP="0012392A">
            <w:pPr>
              <w:pStyle w:val="TableParagraph"/>
              <w:tabs>
                <w:tab w:val="left" w:pos="576"/>
                <w:tab w:val="left" w:pos="1790"/>
                <w:tab w:val="left" w:pos="2308"/>
                <w:tab w:val="left" w:pos="3613"/>
              </w:tabs>
              <w:spacing w:before="240" w:after="240" w:line="276" w:lineRule="auto"/>
              <w:ind w:right="138"/>
              <w:jc w:val="both"/>
              <w:rPr>
                <w:rFonts w:ascii="Arial" w:eastAsiaTheme="minorHAnsi" w:hAnsi="Arial" w:cs="Arial"/>
                <w:b/>
                <w:bCs/>
                <w:sz w:val="24"/>
                <w:szCs w:val="24"/>
                <w:lang w:val="en-IN" w:bidi="hi-IN"/>
              </w:rPr>
            </w:pPr>
            <w:r w:rsidRPr="00A366B9">
              <w:rPr>
                <w:rFonts w:ascii="Arial" w:eastAsiaTheme="minorHAnsi" w:hAnsi="Arial" w:cs="Arial"/>
                <w:b/>
                <w:bCs/>
                <w:sz w:val="24"/>
                <w:szCs w:val="24"/>
                <w:lang w:val="en-IN" w:bidi="hi-IN"/>
              </w:rPr>
              <w:t>9. Board of directors.—(1) The Board of directors shall consist of the Chairman appointed under  sub-section (1) of section 11, and the following other members, namely:—</w:t>
            </w:r>
          </w:p>
          <w:p w:rsidR="0012392A" w:rsidRPr="00A366B9" w:rsidRDefault="0012392A" w:rsidP="0012392A">
            <w:pPr>
              <w:pStyle w:val="TableParagraph"/>
              <w:tabs>
                <w:tab w:val="left" w:pos="576"/>
                <w:tab w:val="left" w:pos="1790"/>
                <w:tab w:val="left" w:pos="2308"/>
                <w:tab w:val="left" w:pos="3613"/>
              </w:tabs>
              <w:spacing w:before="240" w:after="240" w:line="276" w:lineRule="auto"/>
              <w:ind w:right="138"/>
              <w:jc w:val="both"/>
              <w:rPr>
                <w:rFonts w:ascii="Arial" w:eastAsiaTheme="minorHAnsi" w:hAnsi="Arial" w:cs="Arial"/>
                <w:b/>
                <w:bCs/>
                <w:sz w:val="24"/>
                <w:szCs w:val="24"/>
                <w:lang w:val="en-IN" w:bidi="hi-IN"/>
              </w:rPr>
            </w:pPr>
            <w:r w:rsidRPr="00A366B9">
              <w:rPr>
                <w:rFonts w:ascii="Arial" w:eastAsiaTheme="minorHAnsi" w:hAnsi="Arial" w:cs="Arial"/>
                <w:b/>
                <w:bCs/>
                <w:sz w:val="24"/>
                <w:szCs w:val="24"/>
                <w:lang w:val="en-IN" w:bidi="hi-IN"/>
              </w:rPr>
              <w:t>(a) two directors, who are not officers of the Central Government, State Government, Reserve Bank, National Bank, Sponsor Bank or any other bank, to be nominated by the Central Government; [Provided that no person shall be nominated as a director, if he is already a director on the Board of any other Regional Rural Bank;]</w:t>
            </w:r>
          </w:p>
          <w:p w:rsidR="0012392A" w:rsidRPr="00A366B9" w:rsidRDefault="0012392A" w:rsidP="0012392A">
            <w:pPr>
              <w:pStyle w:val="TableParagraph"/>
              <w:tabs>
                <w:tab w:val="left" w:pos="576"/>
                <w:tab w:val="left" w:pos="1790"/>
                <w:tab w:val="left" w:pos="2308"/>
                <w:tab w:val="left" w:pos="3613"/>
              </w:tabs>
              <w:spacing w:before="240" w:after="240" w:line="276" w:lineRule="auto"/>
              <w:ind w:right="138"/>
              <w:jc w:val="both"/>
              <w:rPr>
                <w:rFonts w:ascii="Arial" w:eastAsiaTheme="minorHAnsi" w:hAnsi="Arial" w:cs="Arial"/>
                <w:b/>
                <w:bCs/>
                <w:sz w:val="24"/>
                <w:szCs w:val="24"/>
                <w:lang w:val="en-IN" w:bidi="hi-IN"/>
              </w:rPr>
            </w:pPr>
            <w:r w:rsidRPr="00A366B9">
              <w:rPr>
                <w:rFonts w:ascii="Arial" w:eastAsiaTheme="minorHAnsi" w:hAnsi="Arial" w:cs="Arial"/>
                <w:b/>
                <w:bCs/>
                <w:sz w:val="24"/>
                <w:szCs w:val="24"/>
                <w:lang w:val="en-IN" w:bidi="hi-IN"/>
              </w:rPr>
              <w:t>(b) one director, who is an officer of the Reserve Bank, to be nominated by that Bank;</w:t>
            </w:r>
          </w:p>
          <w:p w:rsidR="0012392A" w:rsidRPr="00A366B9" w:rsidRDefault="0012392A" w:rsidP="0012392A">
            <w:pPr>
              <w:pStyle w:val="TableParagraph"/>
              <w:tabs>
                <w:tab w:val="left" w:pos="576"/>
                <w:tab w:val="left" w:pos="1790"/>
                <w:tab w:val="left" w:pos="2308"/>
                <w:tab w:val="left" w:pos="3613"/>
              </w:tabs>
              <w:spacing w:before="240" w:after="240" w:line="276" w:lineRule="auto"/>
              <w:ind w:right="138"/>
              <w:jc w:val="both"/>
              <w:rPr>
                <w:rFonts w:ascii="Arial" w:eastAsiaTheme="minorHAnsi" w:hAnsi="Arial" w:cs="Arial"/>
                <w:b/>
                <w:bCs/>
                <w:sz w:val="24"/>
                <w:szCs w:val="24"/>
                <w:lang w:val="en-IN" w:bidi="hi-IN"/>
              </w:rPr>
            </w:pPr>
            <w:r w:rsidRPr="00A366B9">
              <w:rPr>
                <w:rFonts w:ascii="Arial" w:eastAsiaTheme="minorHAnsi" w:hAnsi="Arial" w:cs="Arial"/>
                <w:b/>
                <w:bCs/>
                <w:sz w:val="24"/>
                <w:szCs w:val="24"/>
                <w:lang w:val="en-IN" w:bidi="hi-IN"/>
              </w:rPr>
              <w:t>(c) one director, who is an officer of the National Bank, to be nominated by that Bank;</w:t>
            </w:r>
          </w:p>
          <w:p w:rsidR="0012392A" w:rsidRPr="00A366B9" w:rsidRDefault="0012392A" w:rsidP="0012392A">
            <w:pPr>
              <w:pStyle w:val="TableParagraph"/>
              <w:tabs>
                <w:tab w:val="left" w:pos="576"/>
                <w:tab w:val="left" w:pos="1790"/>
                <w:tab w:val="left" w:pos="2308"/>
                <w:tab w:val="left" w:pos="3613"/>
              </w:tabs>
              <w:spacing w:before="240" w:after="240" w:line="276" w:lineRule="auto"/>
              <w:ind w:right="138"/>
              <w:jc w:val="both"/>
              <w:rPr>
                <w:rFonts w:ascii="Arial" w:eastAsiaTheme="minorHAnsi" w:hAnsi="Arial" w:cs="Arial"/>
                <w:b/>
                <w:bCs/>
                <w:sz w:val="24"/>
                <w:szCs w:val="24"/>
                <w:lang w:val="en-IN" w:bidi="hi-IN"/>
              </w:rPr>
            </w:pPr>
            <w:r w:rsidRPr="00A366B9">
              <w:rPr>
                <w:rFonts w:ascii="Arial" w:eastAsiaTheme="minorHAnsi" w:hAnsi="Arial" w:cs="Arial"/>
                <w:b/>
                <w:bCs/>
                <w:sz w:val="24"/>
                <w:szCs w:val="24"/>
                <w:lang w:val="en-IN" w:bidi="hi-IN"/>
              </w:rPr>
              <w:t xml:space="preserve">(d) two directors, who are officers of the Sponsor Bank, to be nominated by that Bank; </w:t>
            </w:r>
          </w:p>
          <w:p w:rsidR="0012392A" w:rsidRPr="00A366B9" w:rsidRDefault="0012392A" w:rsidP="0012392A">
            <w:pPr>
              <w:pStyle w:val="TableParagraph"/>
              <w:tabs>
                <w:tab w:val="left" w:pos="576"/>
                <w:tab w:val="left" w:pos="1790"/>
                <w:tab w:val="left" w:pos="2308"/>
                <w:tab w:val="left" w:pos="3613"/>
              </w:tabs>
              <w:spacing w:before="240" w:after="240" w:line="276" w:lineRule="auto"/>
              <w:ind w:right="138"/>
              <w:jc w:val="both"/>
              <w:rPr>
                <w:rFonts w:ascii="Arial" w:eastAsiaTheme="minorHAnsi" w:hAnsi="Arial" w:cs="Arial"/>
                <w:b/>
                <w:bCs/>
                <w:sz w:val="24"/>
                <w:szCs w:val="24"/>
                <w:lang w:val="en-IN" w:bidi="hi-IN"/>
              </w:rPr>
            </w:pPr>
            <w:r w:rsidRPr="00A366B9">
              <w:rPr>
                <w:rFonts w:ascii="Arial" w:eastAsiaTheme="minorHAnsi" w:hAnsi="Arial" w:cs="Arial"/>
                <w:b/>
                <w:bCs/>
                <w:sz w:val="24"/>
                <w:szCs w:val="24"/>
                <w:lang w:val="en-IN" w:bidi="hi-IN"/>
              </w:rPr>
              <w:t xml:space="preserve">                          and</w:t>
            </w:r>
          </w:p>
          <w:p w:rsidR="0012392A" w:rsidRPr="00A366B9" w:rsidRDefault="0012392A" w:rsidP="0012392A">
            <w:pPr>
              <w:pStyle w:val="TableParagraph"/>
              <w:tabs>
                <w:tab w:val="left" w:pos="576"/>
                <w:tab w:val="left" w:pos="1790"/>
                <w:tab w:val="left" w:pos="2308"/>
                <w:tab w:val="left" w:pos="3613"/>
              </w:tabs>
              <w:spacing w:before="240" w:after="240" w:line="276" w:lineRule="auto"/>
              <w:ind w:right="138"/>
              <w:jc w:val="both"/>
              <w:rPr>
                <w:rFonts w:ascii="Arial" w:eastAsiaTheme="minorHAnsi" w:hAnsi="Arial" w:cs="Arial"/>
                <w:b/>
                <w:bCs/>
                <w:sz w:val="24"/>
                <w:szCs w:val="24"/>
                <w:lang w:val="en-IN" w:bidi="hi-IN"/>
              </w:rPr>
            </w:pPr>
            <w:r w:rsidRPr="00A366B9">
              <w:rPr>
                <w:rFonts w:ascii="Arial" w:eastAsiaTheme="minorHAnsi" w:hAnsi="Arial" w:cs="Arial"/>
                <w:b/>
                <w:bCs/>
                <w:sz w:val="24"/>
                <w:szCs w:val="24"/>
                <w:lang w:val="en-IN" w:bidi="hi-IN"/>
              </w:rPr>
              <w:t>(e) two directors, who are officers of the concerned State Government, to be nominated by that Government:</w:t>
            </w:r>
          </w:p>
          <w:p w:rsidR="0012392A" w:rsidRPr="00A366B9" w:rsidRDefault="0012392A" w:rsidP="0012392A">
            <w:pPr>
              <w:pStyle w:val="TableParagraph"/>
              <w:tabs>
                <w:tab w:val="left" w:pos="576"/>
                <w:tab w:val="left" w:pos="1790"/>
                <w:tab w:val="left" w:pos="2308"/>
                <w:tab w:val="left" w:pos="3613"/>
              </w:tabs>
              <w:spacing w:before="240" w:after="240" w:line="276" w:lineRule="auto"/>
              <w:ind w:right="138"/>
              <w:jc w:val="both"/>
              <w:rPr>
                <w:rFonts w:ascii="Arial" w:eastAsiaTheme="minorHAnsi" w:hAnsi="Arial" w:cs="Arial"/>
                <w:b/>
                <w:bCs/>
                <w:sz w:val="24"/>
                <w:szCs w:val="24"/>
                <w:lang w:val="en-IN" w:bidi="hi-IN"/>
              </w:rPr>
            </w:pPr>
            <w:r w:rsidRPr="00A366B9">
              <w:rPr>
                <w:rFonts w:ascii="Arial" w:eastAsiaTheme="minorHAnsi" w:hAnsi="Arial" w:cs="Arial"/>
                <w:b/>
                <w:bCs/>
                <w:sz w:val="24"/>
                <w:szCs w:val="24"/>
                <w:lang w:val="en-IN" w:bidi="hi-IN"/>
              </w:rPr>
              <w:t>(f) such number of directors elected by the shareholders other than the directors nominated by the Central Government, the State Government, the Sponsor Bank and other institutions owned or controlled by the Central Government or the State Government, whose names are entered in the register of shareholders of the Regional Rural Bank at least ninety days before the date of the meeting  in which the election of Directors takes place on the following basis, namely:</w:t>
            </w:r>
          </w:p>
          <w:p w:rsidR="0012392A" w:rsidRPr="00A366B9" w:rsidRDefault="0012392A" w:rsidP="0012392A">
            <w:pPr>
              <w:pStyle w:val="TableParagraph"/>
              <w:tabs>
                <w:tab w:val="left" w:pos="576"/>
                <w:tab w:val="left" w:pos="1790"/>
                <w:tab w:val="left" w:pos="2308"/>
                <w:tab w:val="left" w:pos="3613"/>
              </w:tabs>
              <w:spacing w:before="240" w:after="240" w:line="276" w:lineRule="auto"/>
              <w:ind w:right="138"/>
              <w:jc w:val="both"/>
              <w:rPr>
                <w:rFonts w:ascii="Arial" w:eastAsiaTheme="minorHAnsi" w:hAnsi="Arial" w:cs="Arial"/>
                <w:b/>
                <w:bCs/>
                <w:sz w:val="24"/>
                <w:szCs w:val="24"/>
                <w:lang w:val="en-IN" w:bidi="hi-IN"/>
              </w:rPr>
            </w:pPr>
            <w:r w:rsidRPr="00A366B9">
              <w:rPr>
                <w:rFonts w:ascii="Arial" w:eastAsiaTheme="minorHAnsi" w:hAnsi="Arial" w:cs="Arial"/>
                <w:b/>
                <w:bCs/>
                <w:sz w:val="24"/>
                <w:szCs w:val="24"/>
                <w:lang w:val="en-IN" w:bidi="hi-IN"/>
              </w:rPr>
              <w:t>(</w:t>
            </w:r>
            <w:proofErr w:type="spellStart"/>
            <w:r w:rsidRPr="00A366B9">
              <w:rPr>
                <w:rFonts w:ascii="Arial" w:eastAsiaTheme="minorHAnsi" w:hAnsi="Arial" w:cs="Arial"/>
                <w:b/>
                <w:bCs/>
                <w:sz w:val="24"/>
                <w:szCs w:val="24"/>
                <w:lang w:val="en-IN" w:bidi="hi-IN"/>
              </w:rPr>
              <w:t>i</w:t>
            </w:r>
            <w:proofErr w:type="spellEnd"/>
            <w:r w:rsidRPr="00A366B9">
              <w:rPr>
                <w:rFonts w:ascii="Arial" w:eastAsiaTheme="minorHAnsi" w:hAnsi="Arial" w:cs="Arial"/>
                <w:b/>
                <w:bCs/>
                <w:sz w:val="24"/>
                <w:szCs w:val="24"/>
                <w:lang w:val="en-IN" w:bidi="hi-IN"/>
              </w:rPr>
              <w:t>) Where the total amount of equity share capital issued to such shareholders is ten per cent. or less of the total issued equity capital, one director shall be elected from such shareholders;</w:t>
            </w:r>
          </w:p>
          <w:p w:rsidR="0012392A" w:rsidRPr="00A366B9" w:rsidRDefault="0012392A" w:rsidP="0012392A">
            <w:pPr>
              <w:pStyle w:val="TableParagraph"/>
              <w:tabs>
                <w:tab w:val="left" w:pos="576"/>
                <w:tab w:val="left" w:pos="1790"/>
                <w:tab w:val="left" w:pos="2308"/>
                <w:tab w:val="left" w:pos="3613"/>
              </w:tabs>
              <w:spacing w:before="240" w:after="240" w:line="276" w:lineRule="auto"/>
              <w:ind w:right="138"/>
              <w:jc w:val="both"/>
              <w:rPr>
                <w:rFonts w:ascii="Arial" w:eastAsiaTheme="minorHAnsi" w:hAnsi="Arial" w:cs="Arial"/>
                <w:b/>
                <w:bCs/>
                <w:sz w:val="24"/>
                <w:szCs w:val="24"/>
                <w:lang w:val="en-IN" w:bidi="hi-IN"/>
              </w:rPr>
            </w:pPr>
            <w:r w:rsidRPr="00A366B9">
              <w:rPr>
                <w:rFonts w:ascii="Arial" w:eastAsiaTheme="minorHAnsi" w:hAnsi="Arial" w:cs="Arial"/>
                <w:b/>
                <w:bCs/>
                <w:sz w:val="24"/>
                <w:szCs w:val="24"/>
                <w:lang w:val="en-IN" w:bidi="hi-IN"/>
              </w:rPr>
              <w:t xml:space="preserve">(ii) Where the total amount of equity share capital issued to such shareholders is more than ten per cent. </w:t>
            </w:r>
            <w:proofErr w:type="gramStart"/>
            <w:r w:rsidRPr="00A366B9">
              <w:rPr>
                <w:rFonts w:ascii="Arial" w:eastAsiaTheme="minorHAnsi" w:hAnsi="Arial" w:cs="Arial"/>
                <w:b/>
                <w:bCs/>
                <w:sz w:val="24"/>
                <w:szCs w:val="24"/>
                <w:lang w:val="en-IN" w:bidi="hi-IN"/>
              </w:rPr>
              <w:t>but</w:t>
            </w:r>
            <w:proofErr w:type="gramEnd"/>
            <w:r w:rsidRPr="00A366B9">
              <w:rPr>
                <w:rFonts w:ascii="Arial" w:eastAsiaTheme="minorHAnsi" w:hAnsi="Arial" w:cs="Arial"/>
                <w:b/>
                <w:bCs/>
                <w:sz w:val="24"/>
                <w:szCs w:val="24"/>
                <w:lang w:val="en-IN" w:bidi="hi-IN"/>
              </w:rPr>
              <w:t xml:space="preserve"> less than twenty-five per cent. of the total issued equity capital, two directors shall be elected from the </w:t>
            </w:r>
            <w:r w:rsidRPr="00A366B9">
              <w:rPr>
                <w:rFonts w:ascii="Arial" w:eastAsiaTheme="minorHAnsi" w:hAnsi="Arial" w:cs="Arial"/>
                <w:b/>
                <w:bCs/>
                <w:sz w:val="24"/>
                <w:szCs w:val="24"/>
                <w:lang w:val="en-IN" w:bidi="hi-IN"/>
              </w:rPr>
              <w:lastRenderedPageBreak/>
              <w:t>shareholders including the shareholders referred to in sub-clause (</w:t>
            </w:r>
            <w:proofErr w:type="spellStart"/>
            <w:r w:rsidRPr="00A366B9">
              <w:rPr>
                <w:rFonts w:ascii="Arial" w:eastAsiaTheme="minorHAnsi" w:hAnsi="Arial" w:cs="Arial"/>
                <w:b/>
                <w:bCs/>
                <w:sz w:val="24"/>
                <w:szCs w:val="24"/>
                <w:lang w:val="en-IN" w:bidi="hi-IN"/>
              </w:rPr>
              <w:t>i</w:t>
            </w:r>
            <w:proofErr w:type="spellEnd"/>
            <w:r w:rsidRPr="00A366B9">
              <w:rPr>
                <w:rFonts w:ascii="Arial" w:eastAsiaTheme="minorHAnsi" w:hAnsi="Arial" w:cs="Arial"/>
                <w:b/>
                <w:bCs/>
                <w:sz w:val="24"/>
                <w:szCs w:val="24"/>
                <w:lang w:val="en-IN" w:bidi="hi-IN"/>
              </w:rPr>
              <w:t>)</w:t>
            </w:r>
          </w:p>
          <w:p w:rsidR="0012392A" w:rsidRPr="00A366B9" w:rsidRDefault="0012392A" w:rsidP="0012392A">
            <w:pPr>
              <w:pStyle w:val="TableParagraph"/>
              <w:tabs>
                <w:tab w:val="left" w:pos="576"/>
                <w:tab w:val="left" w:pos="1790"/>
                <w:tab w:val="left" w:pos="2308"/>
                <w:tab w:val="left" w:pos="3613"/>
              </w:tabs>
              <w:spacing w:before="240" w:after="240" w:line="276" w:lineRule="auto"/>
              <w:ind w:right="138"/>
              <w:jc w:val="both"/>
              <w:rPr>
                <w:rFonts w:ascii="Arial" w:eastAsiaTheme="minorHAnsi" w:hAnsi="Arial" w:cs="Arial"/>
                <w:b/>
                <w:bCs/>
                <w:sz w:val="24"/>
                <w:szCs w:val="24"/>
                <w:lang w:val="en-IN" w:bidi="hi-IN"/>
              </w:rPr>
            </w:pPr>
            <w:r w:rsidRPr="00A366B9">
              <w:rPr>
                <w:rFonts w:ascii="Arial" w:eastAsiaTheme="minorHAnsi" w:hAnsi="Arial" w:cs="Arial"/>
                <w:b/>
                <w:bCs/>
                <w:sz w:val="24"/>
                <w:szCs w:val="24"/>
                <w:lang w:val="en-IN" w:bidi="hi-IN"/>
              </w:rPr>
              <w:t xml:space="preserve">(iii) Where the total amount of equity share capital issued to such shareholders is twenty-five per cent. </w:t>
            </w:r>
            <w:proofErr w:type="gramStart"/>
            <w:r w:rsidRPr="00A366B9">
              <w:rPr>
                <w:rFonts w:ascii="Arial" w:eastAsiaTheme="minorHAnsi" w:hAnsi="Arial" w:cs="Arial"/>
                <w:b/>
                <w:bCs/>
                <w:sz w:val="24"/>
                <w:szCs w:val="24"/>
                <w:lang w:val="en-IN" w:bidi="hi-IN"/>
              </w:rPr>
              <w:t>or</w:t>
            </w:r>
            <w:proofErr w:type="gramEnd"/>
            <w:r w:rsidRPr="00A366B9">
              <w:rPr>
                <w:rFonts w:ascii="Arial" w:eastAsiaTheme="minorHAnsi" w:hAnsi="Arial" w:cs="Arial"/>
                <w:b/>
                <w:bCs/>
                <w:sz w:val="24"/>
                <w:szCs w:val="24"/>
                <w:lang w:val="en-IN" w:bidi="hi-IN"/>
              </w:rPr>
              <w:t xml:space="preserve"> more of the total issued equity capital, three directors shall be elected from the shareholders including shareholders referred to in sub-clauses (</w:t>
            </w:r>
            <w:proofErr w:type="spellStart"/>
            <w:r w:rsidRPr="00A366B9">
              <w:rPr>
                <w:rFonts w:ascii="Arial" w:eastAsiaTheme="minorHAnsi" w:hAnsi="Arial" w:cs="Arial"/>
                <w:b/>
                <w:bCs/>
                <w:sz w:val="24"/>
                <w:szCs w:val="24"/>
                <w:lang w:val="en-IN" w:bidi="hi-IN"/>
              </w:rPr>
              <w:t>i</w:t>
            </w:r>
            <w:proofErr w:type="spellEnd"/>
            <w:r w:rsidRPr="00A366B9">
              <w:rPr>
                <w:rFonts w:ascii="Arial" w:eastAsiaTheme="minorHAnsi" w:hAnsi="Arial" w:cs="Arial"/>
                <w:b/>
                <w:bCs/>
                <w:sz w:val="24"/>
                <w:szCs w:val="24"/>
                <w:lang w:val="en-IN" w:bidi="hi-IN"/>
              </w:rPr>
              <w:t>) and (ii).]</w:t>
            </w:r>
          </w:p>
          <w:p w:rsidR="0012392A" w:rsidRPr="00A366B9" w:rsidRDefault="0012392A" w:rsidP="0012392A">
            <w:pPr>
              <w:pStyle w:val="TableParagraph"/>
              <w:tabs>
                <w:tab w:val="left" w:pos="576"/>
                <w:tab w:val="left" w:pos="1790"/>
                <w:tab w:val="left" w:pos="2308"/>
                <w:tab w:val="left" w:pos="3613"/>
              </w:tabs>
              <w:spacing w:before="240" w:after="240" w:line="276" w:lineRule="auto"/>
              <w:ind w:right="138"/>
              <w:jc w:val="both"/>
              <w:rPr>
                <w:rFonts w:ascii="Arial" w:eastAsiaTheme="minorHAnsi" w:hAnsi="Arial" w:cs="Arial"/>
                <w:b/>
                <w:bCs/>
                <w:sz w:val="24"/>
                <w:szCs w:val="24"/>
                <w:lang w:val="en-IN" w:bidi="hi-IN"/>
              </w:rPr>
            </w:pPr>
            <w:r w:rsidRPr="00A366B9">
              <w:rPr>
                <w:rFonts w:ascii="Arial" w:eastAsiaTheme="minorHAnsi" w:hAnsi="Arial" w:cs="Arial"/>
                <w:b/>
                <w:bCs/>
                <w:sz w:val="24"/>
                <w:szCs w:val="24"/>
                <w:lang w:val="en-IN" w:bidi="hi-IN"/>
              </w:rPr>
              <w:t>(2) The Central Government may increase the number of members of the Board; so, however, that the number of directors does not exceed fifteen in the aggregate and also prescribe the manner in which the additional number may be filled in.</w:t>
            </w:r>
          </w:p>
          <w:p w:rsidR="0012392A" w:rsidRPr="00A366B9" w:rsidRDefault="0012392A" w:rsidP="0012392A">
            <w:pPr>
              <w:pStyle w:val="TableParagraph"/>
              <w:tabs>
                <w:tab w:val="left" w:pos="576"/>
                <w:tab w:val="left" w:pos="1790"/>
                <w:tab w:val="left" w:pos="2308"/>
                <w:tab w:val="left" w:pos="3613"/>
              </w:tabs>
              <w:spacing w:before="240" w:after="240" w:line="276" w:lineRule="auto"/>
              <w:ind w:right="138"/>
              <w:jc w:val="both"/>
              <w:rPr>
                <w:rFonts w:ascii="Arial" w:eastAsiaTheme="minorHAnsi" w:hAnsi="Arial" w:cs="Arial"/>
                <w:b/>
                <w:bCs/>
                <w:sz w:val="24"/>
                <w:szCs w:val="24"/>
                <w:lang w:val="en-IN" w:bidi="hi-IN"/>
              </w:rPr>
            </w:pPr>
            <w:r w:rsidRPr="00A366B9">
              <w:rPr>
                <w:rFonts w:ascii="Arial" w:eastAsiaTheme="minorHAnsi" w:hAnsi="Arial" w:cs="Arial"/>
                <w:b/>
                <w:bCs/>
                <w:noProof/>
                <w:sz w:val="24"/>
                <w:szCs w:val="24"/>
                <w:lang w:val="en-IN" w:eastAsia="en-IN" w:bidi="hi-IN"/>
              </w:rPr>
              <mc:AlternateContent>
                <mc:Choice Requires="wps">
                  <w:drawing>
                    <wp:anchor distT="0" distB="0" distL="114300" distR="114300" simplePos="0" relativeHeight="251659264" behindDoc="0" locked="0" layoutInCell="1" allowOverlap="1" wp14:anchorId="500ED579" wp14:editId="6420571A">
                      <wp:simplePos x="0" y="0"/>
                      <wp:positionH relativeFrom="column">
                        <wp:posOffset>-4446</wp:posOffset>
                      </wp:positionH>
                      <wp:positionV relativeFrom="paragraph">
                        <wp:posOffset>592455</wp:posOffset>
                      </wp:positionV>
                      <wp:extent cx="6791325" cy="47625"/>
                      <wp:effectExtent l="0" t="0" r="28575" b="28575"/>
                      <wp:wrapNone/>
                      <wp:docPr id="31" name="Straight Connector 31"/>
                      <wp:cNvGraphicFramePr/>
                      <a:graphic xmlns:a="http://schemas.openxmlformats.org/drawingml/2006/main">
                        <a:graphicData uri="http://schemas.microsoft.com/office/word/2010/wordprocessingShape">
                          <wps:wsp>
                            <wps:cNvCnPr/>
                            <wps:spPr>
                              <a:xfrm flipV="1">
                                <a:off x="0" y="0"/>
                                <a:ext cx="679132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14FD4C" id="Straight Connector 3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46.65pt" to="534.4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" strokecolor="#5b9bd5 [3204]" strokeweight=".5pt">
                      <v:stroke joinstyle="miter"/>
                    </v:line>
                  </w:pict>
                </mc:Fallback>
              </mc:AlternateContent>
            </w:r>
            <w:r w:rsidRPr="00A366B9">
              <w:rPr>
                <w:rFonts w:ascii="Arial" w:eastAsiaTheme="minorHAnsi" w:hAnsi="Arial" w:cs="Arial"/>
                <w:b/>
                <w:bCs/>
                <w:sz w:val="24"/>
                <w:szCs w:val="24"/>
                <w:lang w:val="en-IN" w:bidi="hi-IN"/>
              </w:rPr>
              <w:t>(3) The Central Government may appoint an officer of the Central Government on the Board of Regional Rural Banks, if it considers necessary for the purposes of effective functioning of the Regional Rural Banks.</w:t>
            </w:r>
          </w:p>
          <w:p w:rsidR="0012392A" w:rsidRPr="00A366B9" w:rsidRDefault="0012392A" w:rsidP="0012392A">
            <w:pPr>
              <w:pStyle w:val="TableParagraph"/>
              <w:tabs>
                <w:tab w:val="left" w:pos="576"/>
                <w:tab w:val="left" w:pos="1790"/>
                <w:tab w:val="left" w:pos="2308"/>
                <w:tab w:val="left" w:pos="3613"/>
              </w:tabs>
              <w:spacing w:before="240" w:after="240" w:line="276" w:lineRule="auto"/>
              <w:ind w:right="138"/>
              <w:jc w:val="both"/>
              <w:rPr>
                <w:rFonts w:ascii="Arial" w:eastAsiaTheme="minorHAnsi" w:hAnsi="Arial" w:cs="Arial"/>
                <w:b/>
                <w:bCs/>
                <w:sz w:val="24"/>
                <w:szCs w:val="24"/>
                <w:lang w:val="en-IN" w:bidi="hi-IN"/>
              </w:rPr>
            </w:pPr>
            <w:r w:rsidRPr="00A366B9">
              <w:rPr>
                <w:rFonts w:ascii="Arial" w:eastAsiaTheme="minorHAnsi" w:hAnsi="Arial" w:cs="Arial"/>
                <w:b/>
                <w:bCs/>
                <w:sz w:val="24"/>
                <w:szCs w:val="24"/>
                <w:lang w:val="en-IN" w:bidi="hi-IN"/>
              </w:rPr>
              <w:t xml:space="preserve">As per section 10 of THE REGIONAL RURAL BANKS ACT, 1976, A director nominated under clause (a) of sub-section (1) of section 9 shall hold office during the pleasure of the Central Government and for such term, not exceeding three years, from the date on which he assumes his office, as the Central Government may specify at the time of his nomination and shall be eligible for re nomination: Provided that no such director shall hold office either continuously or intermittently for a period exceeding six years.] </w:t>
            </w:r>
          </w:p>
          <w:p w:rsidR="0012392A" w:rsidRPr="00A366B9" w:rsidRDefault="0012392A" w:rsidP="0012392A">
            <w:pPr>
              <w:pStyle w:val="TableParagraph"/>
              <w:tabs>
                <w:tab w:val="left" w:pos="576"/>
                <w:tab w:val="left" w:pos="1790"/>
                <w:tab w:val="left" w:pos="2308"/>
                <w:tab w:val="left" w:pos="3613"/>
              </w:tabs>
              <w:spacing w:before="240" w:after="240" w:line="276" w:lineRule="auto"/>
              <w:ind w:right="138"/>
              <w:jc w:val="both"/>
              <w:rPr>
                <w:rFonts w:ascii="Arial" w:eastAsiaTheme="minorHAnsi" w:hAnsi="Arial" w:cs="Arial"/>
                <w:b/>
                <w:bCs/>
                <w:sz w:val="24"/>
                <w:szCs w:val="24"/>
                <w:lang w:val="en-IN" w:bidi="hi-IN"/>
              </w:rPr>
            </w:pPr>
            <w:r w:rsidRPr="00A366B9">
              <w:rPr>
                <w:rFonts w:ascii="Arial" w:eastAsiaTheme="minorHAnsi" w:hAnsi="Arial" w:cs="Arial"/>
                <w:b/>
                <w:bCs/>
                <w:sz w:val="24"/>
                <w:szCs w:val="24"/>
                <w:lang w:val="en-IN" w:bidi="hi-IN"/>
              </w:rPr>
              <w:t xml:space="preserve">For further details copy of THE REGIONAL RURAL BANKS ACT, 1976 is enclosed herewith , link to visit the same is </w:t>
            </w:r>
            <w:hyperlink r:id="rId7" w:history="1">
              <w:r w:rsidRPr="00A366B9">
                <w:rPr>
                  <w:rFonts w:ascii="Arial" w:eastAsiaTheme="minorHAnsi" w:hAnsi="Arial" w:cs="Arial"/>
                  <w:b/>
                  <w:bCs/>
                  <w:sz w:val="24"/>
                  <w:szCs w:val="24"/>
                  <w:lang w:val="en-IN" w:bidi="hi-IN"/>
                </w:rPr>
                <w:t>https://lddashboard.legislative.gov.in/sites/default/files/A1976-21.pdf</w:t>
              </w:r>
            </w:hyperlink>
            <w:r w:rsidRPr="00A366B9">
              <w:rPr>
                <w:rFonts w:ascii="Arial" w:eastAsiaTheme="minorHAnsi" w:hAnsi="Arial" w:cs="Arial"/>
                <w:b/>
                <w:bCs/>
                <w:sz w:val="24"/>
                <w:szCs w:val="24"/>
                <w:lang w:val="en-IN" w:bidi="hi-IN"/>
              </w:rPr>
              <w:t xml:space="preserve"> </w:t>
            </w:r>
          </w:p>
          <w:p w:rsidR="0012392A" w:rsidRPr="00A366B9" w:rsidRDefault="0012392A" w:rsidP="0012392A">
            <w:pPr>
              <w:pStyle w:val="TableParagraph"/>
              <w:tabs>
                <w:tab w:val="left" w:pos="576"/>
                <w:tab w:val="left" w:pos="1790"/>
                <w:tab w:val="left" w:pos="2308"/>
                <w:tab w:val="left" w:pos="3613"/>
              </w:tabs>
              <w:spacing w:before="240" w:after="240" w:line="276" w:lineRule="auto"/>
              <w:ind w:right="138"/>
              <w:jc w:val="both"/>
              <w:rPr>
                <w:rFonts w:ascii="Arial" w:eastAsiaTheme="minorHAnsi" w:hAnsi="Arial" w:cs="Arial"/>
                <w:b/>
                <w:bCs/>
                <w:sz w:val="24"/>
                <w:szCs w:val="24"/>
                <w:lang w:val="en-IN" w:bidi="hi-IN"/>
              </w:rPr>
            </w:pPr>
            <w:r w:rsidRPr="00A366B9">
              <w:rPr>
                <w:rFonts w:ascii="Arial" w:eastAsiaTheme="minorHAnsi" w:hAnsi="Arial" w:cs="Arial"/>
                <w:b/>
                <w:bCs/>
                <w:sz w:val="24"/>
                <w:szCs w:val="24"/>
                <w:lang w:val="en-IN" w:bidi="hi-IN"/>
              </w:rPr>
              <w:t>Bank functions through various committees and such committees advise the Bank on various issues, The committees includes :</w:t>
            </w:r>
          </w:p>
          <w:p w:rsidR="0012392A" w:rsidRPr="00A366B9" w:rsidRDefault="0012392A" w:rsidP="0012392A">
            <w:pPr>
              <w:pStyle w:val="TableParagraph"/>
              <w:numPr>
                <w:ilvl w:val="0"/>
                <w:numId w:val="1"/>
              </w:numPr>
              <w:tabs>
                <w:tab w:val="left" w:pos="725"/>
              </w:tabs>
              <w:spacing w:line="276" w:lineRule="auto"/>
              <w:jc w:val="both"/>
              <w:rPr>
                <w:rFonts w:ascii="Arial" w:hAnsi="Arial" w:cs="Arial"/>
                <w:b/>
                <w:bCs/>
                <w:sz w:val="24"/>
                <w:szCs w:val="24"/>
              </w:rPr>
            </w:pPr>
            <w:r w:rsidRPr="00A366B9">
              <w:rPr>
                <w:rFonts w:ascii="Arial" w:hAnsi="Arial" w:cs="Arial"/>
                <w:b/>
                <w:bCs/>
                <w:spacing w:val="-8"/>
                <w:sz w:val="24"/>
                <w:szCs w:val="24"/>
              </w:rPr>
              <w:t>Tender</w:t>
            </w:r>
            <w:r w:rsidRPr="00A366B9">
              <w:rPr>
                <w:rFonts w:ascii="Arial" w:hAnsi="Arial" w:cs="Arial"/>
                <w:b/>
                <w:bCs/>
                <w:spacing w:val="-12"/>
                <w:sz w:val="24"/>
                <w:szCs w:val="24"/>
              </w:rPr>
              <w:t xml:space="preserve"> </w:t>
            </w:r>
            <w:r w:rsidRPr="00A366B9">
              <w:rPr>
                <w:rFonts w:ascii="Arial" w:hAnsi="Arial" w:cs="Arial"/>
                <w:b/>
                <w:bCs/>
                <w:spacing w:val="-2"/>
                <w:sz w:val="24"/>
                <w:szCs w:val="24"/>
              </w:rPr>
              <w:t>Committee,</w:t>
            </w:r>
          </w:p>
          <w:p w:rsidR="0012392A" w:rsidRPr="00A366B9" w:rsidRDefault="0012392A" w:rsidP="0012392A">
            <w:pPr>
              <w:pStyle w:val="TableParagraph"/>
              <w:numPr>
                <w:ilvl w:val="0"/>
                <w:numId w:val="1"/>
              </w:numPr>
              <w:tabs>
                <w:tab w:val="left" w:pos="725"/>
              </w:tabs>
              <w:spacing w:line="276" w:lineRule="auto"/>
              <w:jc w:val="both"/>
              <w:rPr>
                <w:rFonts w:ascii="Arial" w:hAnsi="Arial" w:cs="Arial"/>
                <w:b/>
                <w:bCs/>
                <w:sz w:val="24"/>
                <w:szCs w:val="24"/>
              </w:rPr>
            </w:pPr>
            <w:r w:rsidRPr="00A366B9">
              <w:rPr>
                <w:rFonts w:ascii="Arial" w:hAnsi="Arial" w:cs="Arial"/>
                <w:b/>
                <w:bCs/>
                <w:w w:val="90"/>
                <w:sz w:val="24"/>
                <w:szCs w:val="24"/>
              </w:rPr>
              <w:t>Premises</w:t>
            </w:r>
            <w:r w:rsidRPr="00A366B9">
              <w:rPr>
                <w:rFonts w:ascii="Arial" w:hAnsi="Arial" w:cs="Arial"/>
                <w:b/>
                <w:bCs/>
                <w:spacing w:val="-5"/>
                <w:w w:val="90"/>
                <w:sz w:val="24"/>
                <w:szCs w:val="24"/>
              </w:rPr>
              <w:t xml:space="preserve"> </w:t>
            </w:r>
            <w:r w:rsidRPr="00A366B9">
              <w:rPr>
                <w:rFonts w:ascii="Arial" w:hAnsi="Arial" w:cs="Arial"/>
                <w:b/>
                <w:bCs/>
                <w:spacing w:val="-2"/>
                <w:sz w:val="24"/>
                <w:szCs w:val="24"/>
              </w:rPr>
              <w:t>Committee,</w:t>
            </w:r>
          </w:p>
          <w:p w:rsidR="0012392A" w:rsidRPr="00A366B9" w:rsidRDefault="0012392A" w:rsidP="0012392A">
            <w:pPr>
              <w:pStyle w:val="TableParagraph"/>
              <w:numPr>
                <w:ilvl w:val="0"/>
                <w:numId w:val="1"/>
              </w:numPr>
              <w:tabs>
                <w:tab w:val="left" w:pos="725"/>
              </w:tabs>
              <w:spacing w:line="276" w:lineRule="auto"/>
              <w:jc w:val="both"/>
              <w:rPr>
                <w:rFonts w:ascii="Arial" w:hAnsi="Arial" w:cs="Arial"/>
                <w:b/>
                <w:bCs/>
                <w:sz w:val="24"/>
                <w:szCs w:val="24"/>
              </w:rPr>
            </w:pPr>
            <w:r w:rsidRPr="00A366B9">
              <w:rPr>
                <w:rFonts w:ascii="Arial" w:hAnsi="Arial" w:cs="Arial"/>
                <w:b/>
                <w:bCs/>
                <w:w w:val="90"/>
                <w:sz w:val="24"/>
                <w:szCs w:val="24"/>
              </w:rPr>
              <w:t>Investment</w:t>
            </w:r>
            <w:r w:rsidRPr="00A366B9">
              <w:rPr>
                <w:rFonts w:ascii="Arial" w:hAnsi="Arial" w:cs="Arial"/>
                <w:b/>
                <w:bCs/>
                <w:spacing w:val="3"/>
                <w:sz w:val="24"/>
                <w:szCs w:val="24"/>
              </w:rPr>
              <w:t xml:space="preserve"> </w:t>
            </w:r>
            <w:r w:rsidRPr="00A366B9">
              <w:rPr>
                <w:rFonts w:ascii="Arial" w:hAnsi="Arial" w:cs="Arial"/>
                <w:b/>
                <w:bCs/>
                <w:spacing w:val="-2"/>
                <w:sz w:val="24"/>
                <w:szCs w:val="24"/>
              </w:rPr>
              <w:t>Committee,</w:t>
            </w:r>
          </w:p>
          <w:p w:rsidR="0012392A" w:rsidRPr="00A366B9" w:rsidRDefault="0012392A" w:rsidP="0012392A">
            <w:pPr>
              <w:pStyle w:val="TableParagraph"/>
              <w:numPr>
                <w:ilvl w:val="0"/>
                <w:numId w:val="1"/>
              </w:numPr>
              <w:tabs>
                <w:tab w:val="left" w:pos="725"/>
              </w:tabs>
              <w:spacing w:line="276" w:lineRule="auto"/>
              <w:jc w:val="both"/>
              <w:rPr>
                <w:rFonts w:ascii="Arial" w:hAnsi="Arial" w:cs="Arial"/>
                <w:b/>
                <w:bCs/>
                <w:sz w:val="24"/>
                <w:szCs w:val="24"/>
              </w:rPr>
            </w:pPr>
            <w:r w:rsidRPr="00A366B9">
              <w:rPr>
                <w:rFonts w:ascii="Arial" w:hAnsi="Arial" w:cs="Arial"/>
                <w:b/>
                <w:bCs/>
                <w:sz w:val="24"/>
                <w:szCs w:val="24"/>
              </w:rPr>
              <w:t>Fraud</w:t>
            </w:r>
            <w:r w:rsidRPr="00A366B9">
              <w:rPr>
                <w:rFonts w:ascii="Arial" w:hAnsi="Arial" w:cs="Arial"/>
                <w:b/>
                <w:bCs/>
                <w:spacing w:val="-17"/>
                <w:sz w:val="24"/>
                <w:szCs w:val="24"/>
              </w:rPr>
              <w:t xml:space="preserve"> </w:t>
            </w:r>
            <w:r w:rsidRPr="00A366B9">
              <w:rPr>
                <w:rFonts w:ascii="Arial" w:hAnsi="Arial" w:cs="Arial"/>
                <w:b/>
                <w:bCs/>
                <w:sz w:val="24"/>
                <w:szCs w:val="24"/>
              </w:rPr>
              <w:t>detection</w:t>
            </w:r>
            <w:r w:rsidRPr="00A366B9">
              <w:rPr>
                <w:rFonts w:ascii="Arial" w:hAnsi="Arial" w:cs="Arial"/>
                <w:b/>
                <w:bCs/>
                <w:spacing w:val="-19"/>
                <w:sz w:val="24"/>
                <w:szCs w:val="24"/>
              </w:rPr>
              <w:t xml:space="preserve"> </w:t>
            </w:r>
            <w:r w:rsidRPr="00A366B9">
              <w:rPr>
                <w:rFonts w:ascii="Arial" w:hAnsi="Arial" w:cs="Arial"/>
                <w:b/>
                <w:bCs/>
                <w:spacing w:val="-2"/>
                <w:sz w:val="24"/>
                <w:szCs w:val="24"/>
              </w:rPr>
              <w:t>Committee,</w:t>
            </w:r>
          </w:p>
          <w:p w:rsidR="0012392A" w:rsidRPr="00A366B9" w:rsidRDefault="0012392A" w:rsidP="0012392A">
            <w:pPr>
              <w:pStyle w:val="TableParagraph"/>
              <w:numPr>
                <w:ilvl w:val="0"/>
                <w:numId w:val="1"/>
              </w:numPr>
              <w:tabs>
                <w:tab w:val="left" w:pos="725"/>
              </w:tabs>
              <w:spacing w:line="276" w:lineRule="auto"/>
              <w:jc w:val="both"/>
              <w:rPr>
                <w:rFonts w:ascii="Arial" w:hAnsi="Arial" w:cs="Arial"/>
                <w:b/>
                <w:bCs/>
                <w:sz w:val="24"/>
                <w:szCs w:val="24"/>
              </w:rPr>
            </w:pPr>
            <w:r w:rsidRPr="00A366B9">
              <w:rPr>
                <w:rFonts w:ascii="Arial" w:hAnsi="Arial" w:cs="Arial"/>
                <w:b/>
                <w:bCs/>
                <w:w w:val="90"/>
                <w:sz w:val="24"/>
                <w:szCs w:val="24"/>
              </w:rPr>
              <w:t>Asset</w:t>
            </w:r>
            <w:r w:rsidRPr="00A366B9">
              <w:rPr>
                <w:rFonts w:ascii="Arial" w:hAnsi="Arial" w:cs="Arial"/>
                <w:b/>
                <w:bCs/>
                <w:spacing w:val="-6"/>
                <w:w w:val="90"/>
                <w:sz w:val="24"/>
                <w:szCs w:val="24"/>
              </w:rPr>
              <w:t xml:space="preserve"> </w:t>
            </w:r>
            <w:r w:rsidRPr="00A366B9">
              <w:rPr>
                <w:rFonts w:ascii="Arial" w:hAnsi="Arial" w:cs="Arial"/>
                <w:b/>
                <w:bCs/>
                <w:w w:val="90"/>
                <w:sz w:val="24"/>
                <w:szCs w:val="24"/>
              </w:rPr>
              <w:t>Liability</w:t>
            </w:r>
            <w:r w:rsidRPr="00A366B9">
              <w:rPr>
                <w:rFonts w:ascii="Arial" w:hAnsi="Arial" w:cs="Arial"/>
                <w:b/>
                <w:bCs/>
                <w:spacing w:val="-1"/>
                <w:w w:val="90"/>
                <w:sz w:val="24"/>
                <w:szCs w:val="24"/>
              </w:rPr>
              <w:t xml:space="preserve"> </w:t>
            </w:r>
            <w:r w:rsidRPr="00A366B9">
              <w:rPr>
                <w:rFonts w:ascii="Arial" w:hAnsi="Arial" w:cs="Arial"/>
                <w:b/>
                <w:bCs/>
                <w:spacing w:val="-2"/>
                <w:w w:val="90"/>
                <w:sz w:val="24"/>
                <w:szCs w:val="24"/>
              </w:rPr>
              <w:t>Committee,</w:t>
            </w:r>
          </w:p>
          <w:p w:rsidR="0012392A" w:rsidRPr="00A366B9" w:rsidRDefault="0012392A" w:rsidP="0012392A">
            <w:pPr>
              <w:pStyle w:val="TableParagraph"/>
              <w:numPr>
                <w:ilvl w:val="0"/>
                <w:numId w:val="1"/>
              </w:numPr>
              <w:tabs>
                <w:tab w:val="left" w:pos="725"/>
              </w:tabs>
              <w:spacing w:line="276" w:lineRule="auto"/>
              <w:jc w:val="both"/>
              <w:rPr>
                <w:rFonts w:ascii="Arial" w:hAnsi="Arial" w:cs="Arial"/>
                <w:b/>
                <w:bCs/>
                <w:sz w:val="24"/>
                <w:szCs w:val="24"/>
              </w:rPr>
            </w:pPr>
            <w:r w:rsidRPr="00A366B9">
              <w:rPr>
                <w:rFonts w:ascii="Arial" w:hAnsi="Arial" w:cs="Arial"/>
                <w:b/>
                <w:bCs/>
                <w:spacing w:val="-2"/>
                <w:sz w:val="24"/>
                <w:szCs w:val="24"/>
              </w:rPr>
              <w:t>HLCC</w:t>
            </w:r>
            <w:r w:rsidRPr="00A366B9">
              <w:rPr>
                <w:rFonts w:ascii="Arial" w:hAnsi="Arial" w:cs="Arial"/>
                <w:b/>
                <w:bCs/>
                <w:spacing w:val="-17"/>
                <w:sz w:val="24"/>
                <w:szCs w:val="24"/>
              </w:rPr>
              <w:t xml:space="preserve"> </w:t>
            </w:r>
            <w:r w:rsidRPr="00A366B9">
              <w:rPr>
                <w:rFonts w:ascii="Arial" w:hAnsi="Arial" w:cs="Arial"/>
                <w:b/>
                <w:bCs/>
                <w:spacing w:val="-2"/>
                <w:sz w:val="24"/>
                <w:szCs w:val="24"/>
              </w:rPr>
              <w:t>committee</w:t>
            </w:r>
            <w:r w:rsidRPr="00A366B9">
              <w:rPr>
                <w:rFonts w:ascii="Arial" w:hAnsi="Arial" w:cs="Arial"/>
                <w:b/>
                <w:bCs/>
                <w:spacing w:val="-13"/>
                <w:sz w:val="24"/>
                <w:szCs w:val="24"/>
              </w:rPr>
              <w:t xml:space="preserve"> </w:t>
            </w:r>
            <w:r w:rsidRPr="00A366B9">
              <w:rPr>
                <w:rFonts w:ascii="Arial" w:hAnsi="Arial" w:cs="Arial"/>
                <w:b/>
                <w:bCs/>
                <w:spacing w:val="-2"/>
                <w:sz w:val="24"/>
                <w:szCs w:val="24"/>
              </w:rPr>
              <w:t>for</w:t>
            </w:r>
            <w:r w:rsidRPr="00A366B9">
              <w:rPr>
                <w:rFonts w:ascii="Arial" w:hAnsi="Arial" w:cs="Arial"/>
                <w:b/>
                <w:bCs/>
                <w:spacing w:val="-14"/>
                <w:sz w:val="24"/>
                <w:szCs w:val="24"/>
              </w:rPr>
              <w:t xml:space="preserve"> </w:t>
            </w:r>
            <w:r w:rsidRPr="00A366B9">
              <w:rPr>
                <w:rFonts w:ascii="Arial" w:hAnsi="Arial" w:cs="Arial"/>
                <w:b/>
                <w:bCs/>
                <w:spacing w:val="-2"/>
                <w:sz w:val="24"/>
                <w:szCs w:val="24"/>
              </w:rPr>
              <w:t>credit,</w:t>
            </w:r>
          </w:p>
          <w:p w:rsidR="0012392A" w:rsidRPr="00A366B9" w:rsidRDefault="0012392A" w:rsidP="0012392A">
            <w:pPr>
              <w:pStyle w:val="TableParagraph"/>
              <w:numPr>
                <w:ilvl w:val="0"/>
                <w:numId w:val="1"/>
              </w:numPr>
              <w:tabs>
                <w:tab w:val="left" w:pos="725"/>
              </w:tabs>
              <w:spacing w:line="276" w:lineRule="auto"/>
              <w:jc w:val="both"/>
              <w:rPr>
                <w:rFonts w:ascii="Arial" w:hAnsi="Arial" w:cs="Arial"/>
                <w:b/>
                <w:bCs/>
                <w:sz w:val="24"/>
                <w:szCs w:val="24"/>
              </w:rPr>
            </w:pPr>
            <w:r w:rsidRPr="00A366B9">
              <w:rPr>
                <w:rFonts w:ascii="Arial" w:hAnsi="Arial" w:cs="Arial"/>
                <w:b/>
                <w:bCs/>
                <w:spacing w:val="-2"/>
                <w:sz w:val="24"/>
                <w:szCs w:val="24"/>
              </w:rPr>
              <w:t>HLCC</w:t>
            </w:r>
            <w:r w:rsidRPr="00A366B9">
              <w:rPr>
                <w:rFonts w:ascii="Arial" w:hAnsi="Arial" w:cs="Arial"/>
                <w:b/>
                <w:bCs/>
                <w:spacing w:val="-16"/>
                <w:sz w:val="24"/>
                <w:szCs w:val="24"/>
              </w:rPr>
              <w:t xml:space="preserve"> </w:t>
            </w:r>
            <w:r w:rsidRPr="00A366B9">
              <w:rPr>
                <w:rFonts w:ascii="Arial" w:hAnsi="Arial" w:cs="Arial"/>
                <w:b/>
                <w:bCs/>
                <w:spacing w:val="-2"/>
                <w:sz w:val="24"/>
                <w:szCs w:val="24"/>
              </w:rPr>
              <w:t>committee</w:t>
            </w:r>
            <w:r w:rsidRPr="00A366B9">
              <w:rPr>
                <w:rFonts w:ascii="Arial" w:hAnsi="Arial" w:cs="Arial"/>
                <w:b/>
                <w:bCs/>
                <w:spacing w:val="-13"/>
                <w:sz w:val="24"/>
                <w:szCs w:val="24"/>
              </w:rPr>
              <w:t xml:space="preserve"> </w:t>
            </w:r>
            <w:r w:rsidRPr="00A366B9">
              <w:rPr>
                <w:rFonts w:ascii="Arial" w:hAnsi="Arial" w:cs="Arial"/>
                <w:b/>
                <w:bCs/>
                <w:spacing w:val="-2"/>
                <w:sz w:val="24"/>
                <w:szCs w:val="24"/>
              </w:rPr>
              <w:t>for</w:t>
            </w:r>
            <w:r w:rsidRPr="00A366B9">
              <w:rPr>
                <w:rFonts w:ascii="Arial" w:hAnsi="Arial" w:cs="Arial"/>
                <w:b/>
                <w:bCs/>
                <w:spacing w:val="-14"/>
                <w:sz w:val="24"/>
                <w:szCs w:val="24"/>
              </w:rPr>
              <w:t xml:space="preserve"> </w:t>
            </w:r>
            <w:r w:rsidRPr="00A366B9">
              <w:rPr>
                <w:rFonts w:ascii="Arial" w:hAnsi="Arial" w:cs="Arial"/>
                <w:b/>
                <w:bCs/>
                <w:spacing w:val="-5"/>
                <w:sz w:val="24"/>
                <w:szCs w:val="24"/>
              </w:rPr>
              <w:t>SAR</w:t>
            </w:r>
          </w:p>
          <w:p w:rsidR="0012392A" w:rsidRPr="00A366B9" w:rsidRDefault="0012392A" w:rsidP="0012392A">
            <w:pPr>
              <w:pStyle w:val="TableParagraph"/>
              <w:numPr>
                <w:ilvl w:val="0"/>
                <w:numId w:val="1"/>
              </w:numPr>
              <w:tabs>
                <w:tab w:val="left" w:pos="725"/>
              </w:tabs>
              <w:spacing w:line="276" w:lineRule="auto"/>
              <w:jc w:val="both"/>
              <w:rPr>
                <w:rFonts w:ascii="Arial" w:hAnsi="Arial" w:cs="Arial"/>
                <w:b/>
                <w:bCs/>
                <w:sz w:val="24"/>
                <w:szCs w:val="24"/>
              </w:rPr>
            </w:pPr>
            <w:r w:rsidRPr="00A366B9">
              <w:rPr>
                <w:rFonts w:ascii="Arial" w:hAnsi="Arial" w:cs="Arial"/>
                <w:b/>
                <w:bCs/>
                <w:spacing w:val="-2"/>
                <w:sz w:val="24"/>
                <w:szCs w:val="24"/>
              </w:rPr>
              <w:t>Audit</w:t>
            </w:r>
            <w:r w:rsidRPr="00A366B9">
              <w:rPr>
                <w:rFonts w:ascii="Arial" w:hAnsi="Arial" w:cs="Arial"/>
                <w:b/>
                <w:bCs/>
                <w:spacing w:val="-15"/>
                <w:sz w:val="24"/>
                <w:szCs w:val="24"/>
              </w:rPr>
              <w:t xml:space="preserve"> </w:t>
            </w:r>
            <w:r w:rsidRPr="00A366B9">
              <w:rPr>
                <w:rFonts w:ascii="Arial" w:hAnsi="Arial" w:cs="Arial"/>
                <w:b/>
                <w:bCs/>
                <w:spacing w:val="-2"/>
                <w:sz w:val="24"/>
                <w:szCs w:val="24"/>
              </w:rPr>
              <w:t>Committee</w:t>
            </w:r>
            <w:r w:rsidRPr="00A366B9">
              <w:rPr>
                <w:rFonts w:ascii="Arial" w:hAnsi="Arial" w:cs="Arial"/>
                <w:b/>
                <w:bCs/>
                <w:spacing w:val="-11"/>
                <w:sz w:val="24"/>
                <w:szCs w:val="24"/>
              </w:rPr>
              <w:t xml:space="preserve"> </w:t>
            </w:r>
            <w:r w:rsidRPr="00A366B9">
              <w:rPr>
                <w:rFonts w:ascii="Arial" w:hAnsi="Arial" w:cs="Arial"/>
                <w:b/>
                <w:bCs/>
                <w:spacing w:val="-2"/>
                <w:sz w:val="24"/>
                <w:szCs w:val="24"/>
              </w:rPr>
              <w:t>of</w:t>
            </w:r>
            <w:r w:rsidRPr="00A366B9">
              <w:rPr>
                <w:rFonts w:ascii="Arial" w:hAnsi="Arial" w:cs="Arial"/>
                <w:b/>
                <w:bCs/>
                <w:spacing w:val="-14"/>
                <w:sz w:val="24"/>
                <w:szCs w:val="24"/>
              </w:rPr>
              <w:t xml:space="preserve"> </w:t>
            </w:r>
            <w:r w:rsidRPr="00A366B9">
              <w:rPr>
                <w:rFonts w:ascii="Arial" w:hAnsi="Arial" w:cs="Arial"/>
                <w:b/>
                <w:bCs/>
                <w:spacing w:val="-2"/>
                <w:sz w:val="24"/>
                <w:szCs w:val="24"/>
              </w:rPr>
              <w:t>the</w:t>
            </w:r>
            <w:r w:rsidRPr="00A366B9">
              <w:rPr>
                <w:rFonts w:ascii="Arial" w:hAnsi="Arial" w:cs="Arial"/>
                <w:b/>
                <w:bCs/>
                <w:spacing w:val="-12"/>
                <w:sz w:val="24"/>
                <w:szCs w:val="24"/>
              </w:rPr>
              <w:t xml:space="preserve"> </w:t>
            </w:r>
            <w:r w:rsidRPr="00A366B9">
              <w:rPr>
                <w:rFonts w:ascii="Arial" w:hAnsi="Arial" w:cs="Arial"/>
                <w:b/>
                <w:bCs/>
                <w:spacing w:val="-2"/>
                <w:sz w:val="24"/>
                <w:szCs w:val="24"/>
              </w:rPr>
              <w:t>Board,</w:t>
            </w:r>
          </w:p>
          <w:p w:rsidR="0012392A" w:rsidRPr="00A366B9" w:rsidRDefault="0012392A" w:rsidP="0012392A">
            <w:pPr>
              <w:pStyle w:val="TableParagraph"/>
              <w:numPr>
                <w:ilvl w:val="0"/>
                <w:numId w:val="1"/>
              </w:numPr>
              <w:tabs>
                <w:tab w:val="left" w:pos="725"/>
              </w:tabs>
              <w:spacing w:line="276" w:lineRule="auto"/>
              <w:jc w:val="both"/>
              <w:rPr>
                <w:rFonts w:ascii="Arial" w:hAnsi="Arial" w:cs="Arial"/>
                <w:b/>
                <w:bCs/>
                <w:sz w:val="24"/>
                <w:szCs w:val="24"/>
              </w:rPr>
            </w:pPr>
            <w:r w:rsidRPr="00A366B9">
              <w:rPr>
                <w:rFonts w:ascii="Arial" w:hAnsi="Arial" w:cs="Arial"/>
                <w:b/>
                <w:bCs/>
                <w:spacing w:val="-4"/>
                <w:sz w:val="24"/>
                <w:szCs w:val="24"/>
              </w:rPr>
              <w:t>Risk</w:t>
            </w:r>
            <w:r w:rsidRPr="00A366B9">
              <w:rPr>
                <w:rFonts w:ascii="Arial" w:hAnsi="Arial" w:cs="Arial"/>
                <w:b/>
                <w:bCs/>
                <w:spacing w:val="-10"/>
                <w:sz w:val="24"/>
                <w:szCs w:val="24"/>
              </w:rPr>
              <w:t xml:space="preserve"> </w:t>
            </w:r>
            <w:r w:rsidRPr="00A366B9">
              <w:rPr>
                <w:rFonts w:ascii="Arial" w:hAnsi="Arial" w:cs="Arial"/>
                <w:b/>
                <w:bCs/>
                <w:spacing w:val="-4"/>
                <w:sz w:val="24"/>
                <w:szCs w:val="24"/>
              </w:rPr>
              <w:t>Management</w:t>
            </w:r>
            <w:r w:rsidRPr="00A366B9">
              <w:rPr>
                <w:rFonts w:ascii="Arial" w:hAnsi="Arial" w:cs="Arial"/>
                <w:b/>
                <w:bCs/>
                <w:spacing w:val="-12"/>
                <w:sz w:val="24"/>
                <w:szCs w:val="24"/>
              </w:rPr>
              <w:t xml:space="preserve"> </w:t>
            </w:r>
            <w:r w:rsidRPr="00A366B9">
              <w:rPr>
                <w:rFonts w:ascii="Arial" w:hAnsi="Arial" w:cs="Arial"/>
                <w:b/>
                <w:bCs/>
                <w:spacing w:val="-4"/>
                <w:sz w:val="24"/>
                <w:szCs w:val="24"/>
              </w:rPr>
              <w:t>Committee,</w:t>
            </w:r>
          </w:p>
          <w:p w:rsidR="0012392A" w:rsidRPr="00A366B9" w:rsidRDefault="0012392A" w:rsidP="0012392A">
            <w:pPr>
              <w:pStyle w:val="TableParagraph"/>
              <w:numPr>
                <w:ilvl w:val="0"/>
                <w:numId w:val="1"/>
              </w:numPr>
              <w:tabs>
                <w:tab w:val="left" w:pos="725"/>
              </w:tabs>
              <w:spacing w:line="276" w:lineRule="auto"/>
              <w:jc w:val="both"/>
              <w:rPr>
                <w:rFonts w:ascii="Arial" w:hAnsi="Arial" w:cs="Arial"/>
                <w:b/>
                <w:bCs/>
                <w:sz w:val="24"/>
                <w:szCs w:val="24"/>
              </w:rPr>
            </w:pPr>
            <w:r w:rsidRPr="00A366B9">
              <w:rPr>
                <w:rFonts w:ascii="Arial" w:hAnsi="Arial" w:cs="Arial"/>
                <w:b/>
                <w:bCs/>
                <w:spacing w:val="-2"/>
                <w:sz w:val="24"/>
                <w:szCs w:val="24"/>
              </w:rPr>
              <w:t>Women</w:t>
            </w:r>
            <w:r w:rsidRPr="00A366B9">
              <w:rPr>
                <w:rFonts w:ascii="Arial" w:hAnsi="Arial" w:cs="Arial"/>
                <w:b/>
                <w:bCs/>
                <w:spacing w:val="-14"/>
                <w:sz w:val="24"/>
                <w:szCs w:val="24"/>
              </w:rPr>
              <w:t xml:space="preserve"> </w:t>
            </w:r>
            <w:r w:rsidRPr="00A366B9">
              <w:rPr>
                <w:rFonts w:ascii="Arial" w:hAnsi="Arial" w:cs="Arial"/>
                <w:b/>
                <w:bCs/>
                <w:spacing w:val="-2"/>
                <w:sz w:val="24"/>
                <w:szCs w:val="24"/>
              </w:rPr>
              <w:t>welfare</w:t>
            </w:r>
            <w:r w:rsidRPr="00A366B9">
              <w:rPr>
                <w:rFonts w:ascii="Arial" w:hAnsi="Arial" w:cs="Arial"/>
                <w:b/>
                <w:bCs/>
                <w:spacing w:val="-13"/>
                <w:sz w:val="24"/>
                <w:szCs w:val="24"/>
              </w:rPr>
              <w:t xml:space="preserve"> </w:t>
            </w:r>
            <w:r w:rsidRPr="00A366B9">
              <w:rPr>
                <w:rFonts w:ascii="Arial" w:hAnsi="Arial" w:cs="Arial"/>
                <w:b/>
                <w:bCs/>
                <w:spacing w:val="-2"/>
                <w:sz w:val="24"/>
                <w:szCs w:val="24"/>
              </w:rPr>
              <w:t>Committee,</w:t>
            </w:r>
          </w:p>
          <w:p w:rsidR="0012392A" w:rsidRPr="00A366B9" w:rsidRDefault="0012392A" w:rsidP="0012392A">
            <w:pPr>
              <w:pStyle w:val="TableParagraph"/>
              <w:numPr>
                <w:ilvl w:val="0"/>
                <w:numId w:val="1"/>
              </w:numPr>
              <w:tabs>
                <w:tab w:val="left" w:pos="725"/>
              </w:tabs>
              <w:spacing w:line="276" w:lineRule="auto"/>
              <w:jc w:val="both"/>
              <w:rPr>
                <w:rFonts w:ascii="Century" w:hAnsi="Century" w:cs="Times New Roman"/>
                <w:b/>
                <w:bCs/>
                <w:sz w:val="24"/>
                <w:szCs w:val="24"/>
              </w:rPr>
            </w:pPr>
            <w:r w:rsidRPr="00A366B9">
              <w:rPr>
                <w:rFonts w:ascii="Arial" w:hAnsi="Arial" w:cs="Arial"/>
                <w:b/>
                <w:bCs/>
                <w:w w:val="80"/>
                <w:sz w:val="24"/>
                <w:szCs w:val="24"/>
              </w:rPr>
              <w:lastRenderedPageBreak/>
              <w:t>SC/ST</w:t>
            </w:r>
            <w:r w:rsidRPr="00A366B9">
              <w:rPr>
                <w:rFonts w:ascii="Arial" w:hAnsi="Arial" w:cs="Arial"/>
                <w:b/>
                <w:bCs/>
                <w:spacing w:val="9"/>
                <w:sz w:val="24"/>
                <w:szCs w:val="24"/>
              </w:rPr>
              <w:t xml:space="preserve"> </w:t>
            </w:r>
            <w:r w:rsidRPr="00A366B9">
              <w:rPr>
                <w:rFonts w:ascii="Arial" w:hAnsi="Arial" w:cs="Arial"/>
                <w:b/>
                <w:bCs/>
                <w:spacing w:val="-2"/>
                <w:sz w:val="24"/>
                <w:szCs w:val="24"/>
              </w:rPr>
              <w:t>Committee,</w:t>
            </w:r>
          </w:p>
          <w:p w:rsidR="0012392A" w:rsidRPr="00A366B9" w:rsidRDefault="0012392A" w:rsidP="0012392A">
            <w:pPr>
              <w:pStyle w:val="TableParagraph"/>
              <w:spacing w:before="240" w:after="240" w:line="276" w:lineRule="auto"/>
              <w:ind w:left="5" w:right="27"/>
              <w:jc w:val="both"/>
              <w:rPr>
                <w:rFonts w:ascii="Arial" w:hAnsi="Arial" w:cs="Arial"/>
                <w:b/>
                <w:bCs/>
                <w:sz w:val="24"/>
                <w:szCs w:val="24"/>
              </w:rPr>
            </w:pPr>
            <w:r w:rsidRPr="00A366B9">
              <w:rPr>
                <w:rFonts w:ascii="Arial" w:hAnsi="Arial" w:cs="Arial"/>
                <w:b/>
                <w:bCs/>
                <w:sz w:val="24"/>
                <w:szCs w:val="24"/>
              </w:rPr>
              <w:t>Public is not entitled to participate in the above committee meetings and minutes are not accessible to public. However changes made if any in any product, scheme, ROI etc. is done in any board meeting same is updated on bank’s official website under relevant tab.</w:t>
            </w:r>
          </w:p>
          <w:p w:rsidR="0012392A" w:rsidRPr="00A366B9" w:rsidRDefault="0012392A" w:rsidP="0012392A">
            <w:pPr>
              <w:numPr>
                <w:ilvl w:val="0"/>
                <w:numId w:val="2"/>
              </w:numPr>
              <w:tabs>
                <w:tab w:val="left" w:pos="725"/>
              </w:tabs>
              <w:spacing w:line="276" w:lineRule="auto"/>
              <w:jc w:val="both"/>
              <w:rPr>
                <w:rFonts w:ascii="Century" w:hAnsi="Century" w:cs="Times New Roman"/>
                <w:b/>
                <w:bCs/>
                <w:sz w:val="24"/>
                <w:szCs w:val="24"/>
              </w:rPr>
            </w:pPr>
            <w:r w:rsidRPr="00A366B9">
              <w:rPr>
                <w:rFonts w:ascii="Arial" w:hAnsi="Arial" w:cs="Arial"/>
                <w:b/>
                <w:bCs/>
                <w:spacing w:val="-2"/>
                <w:sz w:val="24"/>
                <w:szCs w:val="24"/>
              </w:rPr>
              <w:t xml:space="preserve">Further Public may also refer to "Annual Report” </w:t>
            </w:r>
            <w:hyperlink r:id="rId8" w:history="1">
              <w:r w:rsidRPr="00A366B9">
                <w:rPr>
                  <w:rStyle w:val="Hyperlink"/>
                  <w:rFonts w:ascii="Century" w:hAnsi="Century" w:cs="Times New Roman"/>
                  <w:b/>
                  <w:bCs/>
                  <w:spacing w:val="-4"/>
                  <w:sz w:val="24"/>
                  <w:szCs w:val="24"/>
                </w:rPr>
                <w:t>https://www.aryavart-rrb.com/Annaul_Report/Aryavart4thAnnualReport.pdf</w:t>
              </w:r>
            </w:hyperlink>
            <w:r w:rsidRPr="00A366B9">
              <w:rPr>
                <w:rFonts w:ascii="Century" w:hAnsi="Century" w:cs="Times New Roman"/>
                <w:b/>
                <w:bCs/>
                <w:spacing w:val="-4"/>
                <w:sz w:val="24"/>
                <w:szCs w:val="24"/>
              </w:rPr>
              <w:t xml:space="preserve"> </w:t>
            </w:r>
            <w:r w:rsidRPr="00A366B9">
              <w:rPr>
                <w:rFonts w:ascii="Century" w:hAnsi="Century" w:cs="Times New Roman"/>
                <w:b/>
                <w:bCs/>
                <w:spacing w:val="-14"/>
                <w:sz w:val="24"/>
                <w:szCs w:val="24"/>
              </w:rPr>
              <w:t xml:space="preserve"> </w:t>
            </w:r>
            <w:r w:rsidRPr="00A366B9">
              <w:rPr>
                <w:rFonts w:ascii="Arial" w:hAnsi="Arial" w:cs="Arial"/>
                <w:b/>
                <w:bCs/>
                <w:spacing w:val="-2"/>
                <w:sz w:val="24"/>
                <w:szCs w:val="24"/>
              </w:rPr>
              <w:t>&amp; “Balance Sheet”</w:t>
            </w:r>
            <w:r w:rsidRPr="00A366B9">
              <w:rPr>
                <w:rFonts w:ascii="Century" w:hAnsi="Century" w:cs="Times New Roman"/>
                <w:b/>
                <w:bCs/>
                <w:spacing w:val="-4"/>
                <w:sz w:val="24"/>
                <w:szCs w:val="24"/>
              </w:rPr>
              <w:t xml:space="preserve"> </w:t>
            </w:r>
            <w:hyperlink r:id="rId9" w:history="1">
              <w:r w:rsidRPr="00A366B9">
                <w:rPr>
                  <w:rStyle w:val="Hyperlink"/>
                  <w:rFonts w:ascii="Century" w:hAnsi="Century" w:cs="Times New Roman"/>
                  <w:b/>
                  <w:bCs/>
                  <w:spacing w:val="-4"/>
                  <w:sz w:val="24"/>
                  <w:szCs w:val="24"/>
                </w:rPr>
                <w:t>https://www.aryavart-rrb.com/balance_sheet.html</w:t>
              </w:r>
            </w:hyperlink>
            <w:r w:rsidRPr="00A366B9">
              <w:rPr>
                <w:rFonts w:ascii="Century" w:hAnsi="Century" w:cs="Times New Roman"/>
                <w:b/>
                <w:bCs/>
                <w:spacing w:val="-4"/>
                <w:sz w:val="24"/>
                <w:szCs w:val="24"/>
              </w:rPr>
              <w:t xml:space="preserve"> </w:t>
            </w:r>
            <w:r w:rsidRPr="00A366B9">
              <w:rPr>
                <w:rFonts w:ascii="Century" w:hAnsi="Century" w:cs="Times New Roman"/>
                <w:b/>
                <w:bCs/>
                <w:spacing w:val="-13"/>
                <w:sz w:val="24"/>
                <w:szCs w:val="24"/>
              </w:rPr>
              <w:t xml:space="preserve"> </w:t>
            </w:r>
            <w:r w:rsidRPr="00A366B9">
              <w:rPr>
                <w:rFonts w:ascii="Arial" w:hAnsi="Arial" w:cs="Arial"/>
                <w:b/>
                <w:bCs/>
                <w:spacing w:val="-2"/>
                <w:sz w:val="24"/>
                <w:szCs w:val="24"/>
              </w:rPr>
              <w:t>of the Bank for more details.</w:t>
            </w:r>
          </w:p>
        </w:tc>
      </w:tr>
      <w:tr w:rsidR="0012392A" w:rsidRPr="00A366B9" w:rsidTr="00A60940">
        <w:trPr>
          <w:trHeight w:val="409"/>
        </w:trPr>
        <w:tc>
          <w:tcPr>
            <w:tcW w:w="704" w:type="dxa"/>
            <w:vMerge/>
          </w:tcPr>
          <w:p w:rsidR="0012392A" w:rsidRPr="00A366B9" w:rsidRDefault="0012392A" w:rsidP="0012392A">
            <w:pPr>
              <w:spacing w:before="240" w:after="240" w:line="276" w:lineRule="auto"/>
              <w:jc w:val="both"/>
              <w:rPr>
                <w:rFonts w:ascii="Century" w:hAnsi="Century" w:cs="Times New Roman"/>
                <w:b/>
                <w:bCs/>
                <w:sz w:val="24"/>
                <w:szCs w:val="24"/>
              </w:rPr>
            </w:pPr>
          </w:p>
        </w:tc>
        <w:tc>
          <w:tcPr>
            <w:tcW w:w="2693" w:type="dxa"/>
            <w:vMerge/>
          </w:tcPr>
          <w:p w:rsidR="0012392A" w:rsidRPr="00A366B9" w:rsidRDefault="0012392A" w:rsidP="0012392A">
            <w:pPr>
              <w:spacing w:before="240" w:after="240" w:line="276" w:lineRule="auto"/>
              <w:jc w:val="both"/>
              <w:rPr>
                <w:rFonts w:ascii="Century" w:hAnsi="Century" w:cs="Times New Roman"/>
                <w:b/>
                <w:bCs/>
                <w:sz w:val="24"/>
                <w:szCs w:val="24"/>
              </w:rPr>
            </w:pPr>
          </w:p>
        </w:tc>
        <w:tc>
          <w:tcPr>
            <w:tcW w:w="2694" w:type="dxa"/>
          </w:tcPr>
          <w:p w:rsidR="0012392A" w:rsidRPr="00A366B9" w:rsidRDefault="0012392A" w:rsidP="0012392A">
            <w:pPr>
              <w:pStyle w:val="TableParagraph"/>
              <w:tabs>
                <w:tab w:val="left" w:pos="576"/>
                <w:tab w:val="left" w:pos="1790"/>
                <w:tab w:val="left" w:pos="2308"/>
                <w:tab w:val="left" w:pos="3613"/>
              </w:tabs>
              <w:spacing w:before="240" w:after="240" w:line="276" w:lineRule="auto"/>
              <w:ind w:right="138"/>
              <w:jc w:val="both"/>
              <w:rPr>
                <w:rFonts w:ascii="Arial" w:eastAsiaTheme="minorHAnsi" w:hAnsi="Arial" w:cs="Arial"/>
                <w:b/>
                <w:bCs/>
                <w:sz w:val="24"/>
                <w:szCs w:val="24"/>
                <w:lang w:val="en-IN" w:bidi="hi-IN"/>
              </w:rPr>
            </w:pPr>
            <w:r w:rsidRPr="00A366B9">
              <w:rPr>
                <w:rFonts w:ascii="Arial" w:eastAsiaTheme="minorHAnsi" w:hAnsi="Arial" w:cs="Arial"/>
                <w:b/>
                <w:bCs/>
                <w:sz w:val="24"/>
                <w:szCs w:val="24"/>
                <w:lang w:val="en-IN" w:bidi="hi-IN"/>
              </w:rPr>
              <w:t>(ii)</w:t>
            </w:r>
            <w:r w:rsidRPr="00A366B9">
              <w:rPr>
                <w:rFonts w:ascii="Arial" w:eastAsiaTheme="minorHAnsi" w:hAnsi="Arial" w:cs="Arial"/>
                <w:b/>
                <w:bCs/>
                <w:sz w:val="24"/>
                <w:szCs w:val="24"/>
                <w:lang w:val="en-IN" w:bidi="hi-IN"/>
              </w:rPr>
              <w:tab/>
              <w:t>Composition</w:t>
            </w:r>
          </w:p>
        </w:tc>
        <w:tc>
          <w:tcPr>
            <w:tcW w:w="12757" w:type="dxa"/>
            <w:vMerge/>
          </w:tcPr>
          <w:p w:rsidR="0012392A" w:rsidRPr="00A366B9" w:rsidRDefault="0012392A" w:rsidP="0012392A">
            <w:pPr>
              <w:pStyle w:val="TableParagraph"/>
              <w:tabs>
                <w:tab w:val="left" w:pos="576"/>
                <w:tab w:val="left" w:pos="1790"/>
                <w:tab w:val="left" w:pos="2308"/>
                <w:tab w:val="left" w:pos="3613"/>
              </w:tabs>
              <w:spacing w:before="240" w:after="240" w:line="276" w:lineRule="auto"/>
              <w:ind w:right="138"/>
              <w:jc w:val="both"/>
              <w:rPr>
                <w:rFonts w:ascii="Arial" w:eastAsiaTheme="minorHAnsi" w:hAnsi="Arial" w:cs="Arial"/>
                <w:b/>
                <w:bCs/>
                <w:sz w:val="24"/>
                <w:szCs w:val="24"/>
                <w:lang w:val="en-IN" w:bidi="hi-IN"/>
              </w:rPr>
            </w:pPr>
          </w:p>
        </w:tc>
      </w:tr>
      <w:tr w:rsidR="0012392A" w:rsidRPr="00A366B9" w:rsidTr="00A60940">
        <w:trPr>
          <w:trHeight w:val="413"/>
        </w:trPr>
        <w:tc>
          <w:tcPr>
            <w:tcW w:w="704" w:type="dxa"/>
            <w:vMerge/>
          </w:tcPr>
          <w:p w:rsidR="0012392A" w:rsidRPr="00A366B9" w:rsidRDefault="0012392A" w:rsidP="0012392A">
            <w:pPr>
              <w:spacing w:before="240" w:after="240" w:line="276" w:lineRule="auto"/>
              <w:jc w:val="both"/>
              <w:rPr>
                <w:rFonts w:ascii="Century" w:hAnsi="Century" w:cs="Times New Roman"/>
                <w:b/>
                <w:bCs/>
                <w:sz w:val="24"/>
                <w:szCs w:val="24"/>
              </w:rPr>
            </w:pPr>
          </w:p>
        </w:tc>
        <w:tc>
          <w:tcPr>
            <w:tcW w:w="2693" w:type="dxa"/>
            <w:vMerge/>
          </w:tcPr>
          <w:p w:rsidR="0012392A" w:rsidRPr="00A366B9" w:rsidRDefault="0012392A" w:rsidP="0012392A">
            <w:pPr>
              <w:spacing w:before="240" w:after="240" w:line="276" w:lineRule="auto"/>
              <w:jc w:val="both"/>
              <w:rPr>
                <w:rFonts w:ascii="Century" w:hAnsi="Century" w:cs="Times New Roman"/>
                <w:b/>
                <w:bCs/>
                <w:sz w:val="24"/>
                <w:szCs w:val="24"/>
              </w:rPr>
            </w:pPr>
          </w:p>
        </w:tc>
        <w:tc>
          <w:tcPr>
            <w:tcW w:w="2694" w:type="dxa"/>
          </w:tcPr>
          <w:p w:rsidR="0012392A" w:rsidRPr="00A366B9" w:rsidRDefault="0012392A" w:rsidP="0012392A">
            <w:pPr>
              <w:pStyle w:val="TableParagraph"/>
              <w:tabs>
                <w:tab w:val="left" w:pos="576"/>
                <w:tab w:val="left" w:pos="1790"/>
                <w:tab w:val="left" w:pos="2308"/>
                <w:tab w:val="left" w:pos="3613"/>
              </w:tabs>
              <w:spacing w:before="240" w:after="240" w:line="276" w:lineRule="auto"/>
              <w:ind w:right="138"/>
              <w:jc w:val="both"/>
              <w:rPr>
                <w:rFonts w:ascii="Arial" w:eastAsiaTheme="minorHAnsi" w:hAnsi="Arial" w:cs="Arial"/>
                <w:b/>
                <w:bCs/>
                <w:sz w:val="24"/>
                <w:szCs w:val="24"/>
                <w:lang w:val="en-IN" w:bidi="hi-IN"/>
              </w:rPr>
            </w:pPr>
            <w:r w:rsidRPr="00A366B9">
              <w:rPr>
                <w:rFonts w:ascii="Arial" w:eastAsiaTheme="minorHAnsi" w:hAnsi="Arial" w:cs="Arial"/>
                <w:b/>
                <w:bCs/>
                <w:sz w:val="24"/>
                <w:szCs w:val="24"/>
                <w:lang w:val="en-IN" w:bidi="hi-IN"/>
              </w:rPr>
              <w:t>(iii)</w:t>
            </w:r>
            <w:r w:rsidRPr="00A366B9">
              <w:rPr>
                <w:rFonts w:ascii="Arial" w:eastAsiaTheme="minorHAnsi" w:hAnsi="Arial" w:cs="Arial"/>
                <w:b/>
                <w:bCs/>
                <w:sz w:val="24"/>
                <w:szCs w:val="24"/>
                <w:lang w:val="en-IN" w:bidi="hi-IN"/>
              </w:rPr>
              <w:tab/>
              <w:t>Dates from which constituted</w:t>
            </w:r>
          </w:p>
        </w:tc>
        <w:tc>
          <w:tcPr>
            <w:tcW w:w="12757" w:type="dxa"/>
            <w:vMerge/>
          </w:tcPr>
          <w:p w:rsidR="0012392A" w:rsidRPr="00A366B9" w:rsidRDefault="0012392A" w:rsidP="0012392A">
            <w:pPr>
              <w:pStyle w:val="TableParagraph"/>
              <w:tabs>
                <w:tab w:val="left" w:pos="576"/>
                <w:tab w:val="left" w:pos="1790"/>
                <w:tab w:val="left" w:pos="2308"/>
                <w:tab w:val="left" w:pos="3613"/>
              </w:tabs>
              <w:spacing w:before="240" w:after="240" w:line="276" w:lineRule="auto"/>
              <w:ind w:right="138"/>
              <w:jc w:val="both"/>
              <w:rPr>
                <w:rFonts w:ascii="Arial" w:eastAsiaTheme="minorHAnsi" w:hAnsi="Arial" w:cs="Arial"/>
                <w:b/>
                <w:bCs/>
                <w:sz w:val="24"/>
                <w:szCs w:val="24"/>
                <w:lang w:val="en-IN" w:bidi="hi-IN"/>
              </w:rPr>
            </w:pPr>
          </w:p>
        </w:tc>
      </w:tr>
      <w:tr w:rsidR="0012392A" w:rsidRPr="00A366B9" w:rsidTr="00A60940">
        <w:trPr>
          <w:trHeight w:val="412"/>
        </w:trPr>
        <w:tc>
          <w:tcPr>
            <w:tcW w:w="704" w:type="dxa"/>
            <w:vMerge/>
          </w:tcPr>
          <w:p w:rsidR="0012392A" w:rsidRPr="00A366B9" w:rsidRDefault="0012392A" w:rsidP="0012392A">
            <w:pPr>
              <w:spacing w:before="240" w:after="240" w:line="276" w:lineRule="auto"/>
              <w:jc w:val="both"/>
              <w:rPr>
                <w:rFonts w:ascii="Century" w:hAnsi="Century" w:cs="Times New Roman"/>
                <w:b/>
                <w:bCs/>
                <w:sz w:val="24"/>
                <w:szCs w:val="24"/>
              </w:rPr>
            </w:pPr>
          </w:p>
        </w:tc>
        <w:tc>
          <w:tcPr>
            <w:tcW w:w="2693" w:type="dxa"/>
            <w:vMerge/>
          </w:tcPr>
          <w:p w:rsidR="0012392A" w:rsidRPr="00A366B9" w:rsidRDefault="0012392A" w:rsidP="0012392A">
            <w:pPr>
              <w:spacing w:before="240" w:after="240" w:line="276" w:lineRule="auto"/>
              <w:jc w:val="both"/>
              <w:rPr>
                <w:rFonts w:ascii="Century" w:hAnsi="Century" w:cs="Times New Roman"/>
                <w:b/>
                <w:bCs/>
                <w:sz w:val="24"/>
                <w:szCs w:val="24"/>
              </w:rPr>
            </w:pPr>
          </w:p>
        </w:tc>
        <w:tc>
          <w:tcPr>
            <w:tcW w:w="2694" w:type="dxa"/>
          </w:tcPr>
          <w:p w:rsidR="0012392A" w:rsidRPr="00A366B9" w:rsidRDefault="0012392A" w:rsidP="0012392A">
            <w:pPr>
              <w:pStyle w:val="TableParagraph"/>
              <w:tabs>
                <w:tab w:val="left" w:pos="576"/>
                <w:tab w:val="left" w:pos="1790"/>
                <w:tab w:val="left" w:pos="2308"/>
                <w:tab w:val="left" w:pos="3613"/>
              </w:tabs>
              <w:spacing w:before="240" w:after="240" w:line="276" w:lineRule="auto"/>
              <w:ind w:right="138"/>
              <w:jc w:val="both"/>
              <w:rPr>
                <w:rFonts w:ascii="Arial" w:eastAsiaTheme="minorHAnsi" w:hAnsi="Arial" w:cs="Arial"/>
                <w:b/>
                <w:bCs/>
                <w:sz w:val="24"/>
                <w:szCs w:val="24"/>
                <w:lang w:val="en-IN" w:bidi="hi-IN"/>
              </w:rPr>
            </w:pPr>
            <w:r w:rsidRPr="00A366B9">
              <w:rPr>
                <w:rFonts w:ascii="Arial" w:eastAsiaTheme="minorHAnsi" w:hAnsi="Arial" w:cs="Arial"/>
                <w:b/>
                <w:bCs/>
                <w:sz w:val="24"/>
                <w:szCs w:val="24"/>
                <w:lang w:val="en-IN" w:bidi="hi-IN"/>
              </w:rPr>
              <w:t>(iv)</w:t>
            </w:r>
            <w:r w:rsidRPr="00A366B9">
              <w:rPr>
                <w:rFonts w:ascii="Arial" w:eastAsiaTheme="minorHAnsi" w:hAnsi="Arial" w:cs="Arial"/>
                <w:b/>
                <w:bCs/>
                <w:sz w:val="24"/>
                <w:szCs w:val="24"/>
                <w:lang w:val="en-IN" w:bidi="hi-IN"/>
              </w:rPr>
              <w:tab/>
              <w:t>Term/ Tenure</w:t>
            </w:r>
          </w:p>
        </w:tc>
        <w:tc>
          <w:tcPr>
            <w:tcW w:w="12757" w:type="dxa"/>
            <w:vMerge/>
          </w:tcPr>
          <w:p w:rsidR="0012392A" w:rsidRPr="00A366B9" w:rsidRDefault="0012392A" w:rsidP="0012392A">
            <w:pPr>
              <w:pStyle w:val="TableParagraph"/>
              <w:tabs>
                <w:tab w:val="left" w:pos="576"/>
                <w:tab w:val="left" w:pos="1790"/>
                <w:tab w:val="left" w:pos="2308"/>
                <w:tab w:val="left" w:pos="3613"/>
              </w:tabs>
              <w:spacing w:before="240" w:after="240" w:line="276" w:lineRule="auto"/>
              <w:ind w:right="138"/>
              <w:jc w:val="both"/>
              <w:rPr>
                <w:rFonts w:ascii="Arial" w:eastAsiaTheme="minorHAnsi" w:hAnsi="Arial" w:cs="Arial"/>
                <w:b/>
                <w:bCs/>
                <w:sz w:val="24"/>
                <w:szCs w:val="24"/>
                <w:lang w:val="en-IN" w:bidi="hi-IN"/>
              </w:rPr>
            </w:pPr>
          </w:p>
        </w:tc>
      </w:tr>
      <w:tr w:rsidR="0012392A" w:rsidRPr="00A366B9" w:rsidTr="00A60940">
        <w:trPr>
          <w:trHeight w:val="1205"/>
        </w:trPr>
        <w:tc>
          <w:tcPr>
            <w:tcW w:w="704" w:type="dxa"/>
            <w:vMerge/>
          </w:tcPr>
          <w:p w:rsidR="0012392A" w:rsidRPr="00A366B9" w:rsidRDefault="0012392A" w:rsidP="0012392A">
            <w:pPr>
              <w:spacing w:before="240" w:after="240" w:line="276" w:lineRule="auto"/>
              <w:jc w:val="both"/>
              <w:rPr>
                <w:rFonts w:ascii="Century" w:hAnsi="Century" w:cs="Times New Roman"/>
                <w:b/>
                <w:bCs/>
                <w:sz w:val="24"/>
                <w:szCs w:val="24"/>
              </w:rPr>
            </w:pPr>
          </w:p>
        </w:tc>
        <w:tc>
          <w:tcPr>
            <w:tcW w:w="2693" w:type="dxa"/>
            <w:vMerge/>
          </w:tcPr>
          <w:p w:rsidR="0012392A" w:rsidRPr="00A366B9" w:rsidRDefault="0012392A" w:rsidP="0012392A">
            <w:pPr>
              <w:spacing w:before="240" w:after="240" w:line="276" w:lineRule="auto"/>
              <w:jc w:val="both"/>
              <w:rPr>
                <w:rFonts w:ascii="Century" w:hAnsi="Century" w:cs="Times New Roman"/>
                <w:b/>
                <w:bCs/>
                <w:sz w:val="24"/>
                <w:szCs w:val="24"/>
              </w:rPr>
            </w:pPr>
          </w:p>
        </w:tc>
        <w:tc>
          <w:tcPr>
            <w:tcW w:w="2694" w:type="dxa"/>
          </w:tcPr>
          <w:p w:rsidR="0012392A" w:rsidRPr="00A366B9" w:rsidRDefault="0012392A" w:rsidP="0012392A">
            <w:pPr>
              <w:pStyle w:val="TableParagraph"/>
              <w:tabs>
                <w:tab w:val="left" w:pos="576"/>
                <w:tab w:val="left" w:pos="1790"/>
                <w:tab w:val="left" w:pos="2308"/>
                <w:tab w:val="left" w:pos="3613"/>
              </w:tabs>
              <w:spacing w:before="240" w:after="240" w:line="276" w:lineRule="auto"/>
              <w:ind w:right="138"/>
              <w:jc w:val="both"/>
              <w:rPr>
                <w:rFonts w:ascii="Arial" w:eastAsiaTheme="minorHAnsi" w:hAnsi="Arial" w:cs="Arial"/>
                <w:b/>
                <w:bCs/>
                <w:sz w:val="24"/>
                <w:szCs w:val="24"/>
                <w:lang w:val="en-IN" w:bidi="hi-IN"/>
              </w:rPr>
            </w:pPr>
            <w:r w:rsidRPr="00A366B9">
              <w:rPr>
                <w:rFonts w:ascii="Arial" w:eastAsiaTheme="minorHAnsi" w:hAnsi="Arial" w:cs="Arial"/>
                <w:b/>
                <w:bCs/>
                <w:sz w:val="24"/>
                <w:szCs w:val="24"/>
                <w:lang w:val="en-IN" w:bidi="hi-IN"/>
              </w:rPr>
              <w:t>(v)</w:t>
            </w:r>
            <w:r w:rsidRPr="00A366B9">
              <w:rPr>
                <w:rFonts w:ascii="Arial" w:eastAsiaTheme="minorHAnsi" w:hAnsi="Arial" w:cs="Arial"/>
                <w:b/>
                <w:bCs/>
                <w:sz w:val="24"/>
                <w:szCs w:val="24"/>
                <w:lang w:val="en-IN" w:bidi="hi-IN"/>
              </w:rPr>
              <w:tab/>
              <w:t>Powers and functions</w:t>
            </w:r>
          </w:p>
        </w:tc>
        <w:tc>
          <w:tcPr>
            <w:tcW w:w="12757" w:type="dxa"/>
            <w:vMerge/>
          </w:tcPr>
          <w:p w:rsidR="0012392A" w:rsidRPr="00A366B9" w:rsidRDefault="0012392A" w:rsidP="0012392A">
            <w:pPr>
              <w:pStyle w:val="TableParagraph"/>
              <w:tabs>
                <w:tab w:val="left" w:pos="576"/>
                <w:tab w:val="left" w:pos="1790"/>
                <w:tab w:val="left" w:pos="2308"/>
                <w:tab w:val="left" w:pos="3613"/>
              </w:tabs>
              <w:spacing w:before="240" w:after="240" w:line="276" w:lineRule="auto"/>
              <w:ind w:right="138"/>
              <w:jc w:val="both"/>
              <w:rPr>
                <w:rFonts w:ascii="Arial" w:eastAsiaTheme="minorHAnsi" w:hAnsi="Arial" w:cs="Arial"/>
                <w:b/>
                <w:bCs/>
                <w:sz w:val="24"/>
                <w:szCs w:val="24"/>
                <w:lang w:val="en-IN" w:bidi="hi-IN"/>
              </w:rPr>
            </w:pPr>
          </w:p>
        </w:tc>
      </w:tr>
      <w:tr w:rsidR="0012392A" w:rsidRPr="00A366B9" w:rsidTr="00A60940">
        <w:trPr>
          <w:trHeight w:val="542"/>
        </w:trPr>
        <w:tc>
          <w:tcPr>
            <w:tcW w:w="704" w:type="dxa"/>
            <w:vMerge/>
          </w:tcPr>
          <w:p w:rsidR="0012392A" w:rsidRPr="00A366B9" w:rsidRDefault="0012392A" w:rsidP="0012392A">
            <w:pPr>
              <w:spacing w:before="240" w:after="240" w:line="276" w:lineRule="auto"/>
              <w:jc w:val="both"/>
              <w:rPr>
                <w:rFonts w:ascii="Century" w:hAnsi="Century" w:cs="Times New Roman"/>
                <w:b/>
                <w:bCs/>
                <w:sz w:val="24"/>
                <w:szCs w:val="24"/>
              </w:rPr>
            </w:pPr>
          </w:p>
        </w:tc>
        <w:tc>
          <w:tcPr>
            <w:tcW w:w="2693" w:type="dxa"/>
            <w:vMerge/>
          </w:tcPr>
          <w:p w:rsidR="0012392A" w:rsidRPr="00A366B9" w:rsidRDefault="0012392A" w:rsidP="0012392A">
            <w:pPr>
              <w:spacing w:before="240" w:after="240" w:line="276" w:lineRule="auto"/>
              <w:jc w:val="both"/>
              <w:rPr>
                <w:rFonts w:ascii="Century" w:hAnsi="Century" w:cs="Times New Roman"/>
                <w:b/>
                <w:bCs/>
                <w:sz w:val="24"/>
                <w:szCs w:val="24"/>
              </w:rPr>
            </w:pPr>
          </w:p>
        </w:tc>
        <w:tc>
          <w:tcPr>
            <w:tcW w:w="2694" w:type="dxa"/>
          </w:tcPr>
          <w:p w:rsidR="0012392A" w:rsidRPr="00A366B9" w:rsidRDefault="0012392A" w:rsidP="0012392A">
            <w:pPr>
              <w:widowControl/>
              <w:adjustRightInd w:val="0"/>
              <w:spacing w:before="240" w:after="240" w:line="276" w:lineRule="auto"/>
              <w:rPr>
                <w:rFonts w:ascii="Arial" w:eastAsiaTheme="minorHAnsi" w:hAnsi="Arial" w:cs="Arial"/>
                <w:b/>
                <w:bCs/>
                <w:sz w:val="24"/>
                <w:szCs w:val="24"/>
                <w:lang w:val="en-IN" w:bidi="hi-IN"/>
              </w:rPr>
            </w:pPr>
            <w:r w:rsidRPr="00A366B9">
              <w:rPr>
                <w:rFonts w:ascii="Arial" w:eastAsiaTheme="minorHAnsi" w:hAnsi="Arial" w:cs="Arial"/>
                <w:b/>
                <w:bCs/>
                <w:sz w:val="24"/>
                <w:szCs w:val="24"/>
                <w:lang w:val="en-IN" w:bidi="hi-IN"/>
              </w:rPr>
              <w:t>(vi)  Whether their meetings are open to the public?</w:t>
            </w:r>
          </w:p>
        </w:tc>
        <w:tc>
          <w:tcPr>
            <w:tcW w:w="12757" w:type="dxa"/>
            <w:vMerge/>
          </w:tcPr>
          <w:p w:rsidR="0012392A" w:rsidRPr="00A366B9" w:rsidRDefault="0012392A" w:rsidP="0012392A">
            <w:pPr>
              <w:widowControl/>
              <w:adjustRightInd w:val="0"/>
              <w:spacing w:before="240" w:after="240" w:line="276" w:lineRule="auto"/>
              <w:rPr>
                <w:rFonts w:ascii="Arial" w:eastAsiaTheme="minorHAnsi" w:hAnsi="Arial" w:cs="Arial"/>
                <w:b/>
                <w:bCs/>
                <w:sz w:val="24"/>
                <w:szCs w:val="24"/>
                <w:lang w:val="en-IN" w:bidi="hi-IN"/>
              </w:rPr>
            </w:pPr>
          </w:p>
        </w:tc>
      </w:tr>
      <w:tr w:rsidR="0012392A" w:rsidRPr="00A366B9" w:rsidTr="00A60940">
        <w:trPr>
          <w:trHeight w:val="537"/>
        </w:trPr>
        <w:tc>
          <w:tcPr>
            <w:tcW w:w="704" w:type="dxa"/>
            <w:vMerge/>
          </w:tcPr>
          <w:p w:rsidR="0012392A" w:rsidRPr="00A366B9" w:rsidRDefault="0012392A" w:rsidP="0012392A">
            <w:pPr>
              <w:spacing w:before="240" w:after="240" w:line="276" w:lineRule="auto"/>
              <w:jc w:val="both"/>
              <w:rPr>
                <w:rFonts w:ascii="Century" w:hAnsi="Century" w:cs="Times New Roman"/>
                <w:b/>
                <w:bCs/>
                <w:sz w:val="24"/>
                <w:szCs w:val="24"/>
              </w:rPr>
            </w:pPr>
          </w:p>
        </w:tc>
        <w:tc>
          <w:tcPr>
            <w:tcW w:w="2693" w:type="dxa"/>
            <w:vMerge/>
          </w:tcPr>
          <w:p w:rsidR="0012392A" w:rsidRPr="00A366B9" w:rsidRDefault="0012392A" w:rsidP="0012392A">
            <w:pPr>
              <w:spacing w:before="240" w:after="240" w:line="276" w:lineRule="auto"/>
              <w:jc w:val="both"/>
              <w:rPr>
                <w:rFonts w:ascii="Century" w:hAnsi="Century" w:cs="Times New Roman"/>
                <w:b/>
                <w:bCs/>
                <w:sz w:val="24"/>
                <w:szCs w:val="24"/>
              </w:rPr>
            </w:pPr>
          </w:p>
        </w:tc>
        <w:tc>
          <w:tcPr>
            <w:tcW w:w="2694" w:type="dxa"/>
          </w:tcPr>
          <w:p w:rsidR="0012392A" w:rsidRPr="00A366B9" w:rsidRDefault="0012392A" w:rsidP="0012392A">
            <w:pPr>
              <w:widowControl/>
              <w:adjustRightInd w:val="0"/>
              <w:spacing w:before="240" w:after="240" w:line="276" w:lineRule="auto"/>
              <w:rPr>
                <w:rFonts w:ascii="Arial" w:eastAsiaTheme="minorHAnsi" w:hAnsi="Arial" w:cs="Arial"/>
                <w:b/>
                <w:bCs/>
                <w:sz w:val="24"/>
                <w:szCs w:val="24"/>
                <w:lang w:val="en-IN" w:bidi="hi-IN"/>
              </w:rPr>
            </w:pPr>
            <w:r w:rsidRPr="00A366B9">
              <w:rPr>
                <w:rFonts w:ascii="Arial" w:eastAsiaTheme="minorHAnsi" w:hAnsi="Arial" w:cs="Arial"/>
                <w:b/>
                <w:bCs/>
                <w:sz w:val="24"/>
                <w:szCs w:val="24"/>
                <w:lang w:val="en-IN" w:bidi="hi-IN"/>
              </w:rPr>
              <w:t>(vii) Whether the minutes of the meetings are open to the public?</w:t>
            </w:r>
          </w:p>
        </w:tc>
        <w:tc>
          <w:tcPr>
            <w:tcW w:w="12757" w:type="dxa"/>
            <w:vMerge/>
          </w:tcPr>
          <w:p w:rsidR="0012392A" w:rsidRPr="00A366B9" w:rsidRDefault="0012392A" w:rsidP="0012392A">
            <w:pPr>
              <w:widowControl/>
              <w:adjustRightInd w:val="0"/>
              <w:spacing w:before="240" w:after="240" w:line="276" w:lineRule="auto"/>
              <w:rPr>
                <w:rFonts w:ascii="Arial" w:eastAsiaTheme="minorHAnsi" w:hAnsi="Arial" w:cs="Arial"/>
                <w:b/>
                <w:bCs/>
                <w:sz w:val="24"/>
                <w:szCs w:val="24"/>
                <w:lang w:val="en-IN" w:bidi="hi-IN"/>
              </w:rPr>
            </w:pPr>
          </w:p>
        </w:tc>
      </w:tr>
      <w:tr w:rsidR="0012392A" w:rsidRPr="00A366B9" w:rsidTr="00A60940">
        <w:trPr>
          <w:trHeight w:val="699"/>
        </w:trPr>
        <w:tc>
          <w:tcPr>
            <w:tcW w:w="704" w:type="dxa"/>
            <w:vMerge/>
          </w:tcPr>
          <w:p w:rsidR="0012392A" w:rsidRPr="00A366B9" w:rsidRDefault="0012392A" w:rsidP="0012392A">
            <w:pPr>
              <w:spacing w:before="240" w:after="240" w:line="276" w:lineRule="auto"/>
              <w:jc w:val="both"/>
              <w:rPr>
                <w:rFonts w:ascii="Century" w:hAnsi="Century" w:cs="Times New Roman"/>
                <w:b/>
                <w:bCs/>
                <w:sz w:val="24"/>
                <w:szCs w:val="24"/>
              </w:rPr>
            </w:pPr>
          </w:p>
        </w:tc>
        <w:tc>
          <w:tcPr>
            <w:tcW w:w="2693" w:type="dxa"/>
            <w:vMerge/>
          </w:tcPr>
          <w:p w:rsidR="0012392A" w:rsidRPr="00A366B9" w:rsidRDefault="0012392A" w:rsidP="0012392A">
            <w:pPr>
              <w:spacing w:before="240" w:after="240" w:line="276" w:lineRule="auto"/>
              <w:jc w:val="both"/>
              <w:rPr>
                <w:rFonts w:ascii="Century" w:hAnsi="Century" w:cs="Times New Roman"/>
                <w:b/>
                <w:bCs/>
                <w:sz w:val="24"/>
                <w:szCs w:val="24"/>
              </w:rPr>
            </w:pPr>
          </w:p>
        </w:tc>
        <w:tc>
          <w:tcPr>
            <w:tcW w:w="2694" w:type="dxa"/>
          </w:tcPr>
          <w:p w:rsidR="0012392A" w:rsidRPr="00A366B9" w:rsidRDefault="0012392A" w:rsidP="0012392A">
            <w:pPr>
              <w:widowControl/>
              <w:adjustRightInd w:val="0"/>
              <w:spacing w:before="240" w:after="240" w:line="276" w:lineRule="auto"/>
              <w:rPr>
                <w:rFonts w:ascii="Arial" w:eastAsiaTheme="minorHAnsi" w:hAnsi="Arial" w:cs="Arial"/>
                <w:b/>
                <w:bCs/>
                <w:sz w:val="24"/>
                <w:szCs w:val="24"/>
                <w:lang w:val="en-IN" w:bidi="hi-IN"/>
              </w:rPr>
            </w:pPr>
            <w:r w:rsidRPr="00A366B9">
              <w:rPr>
                <w:rFonts w:ascii="Arial" w:eastAsiaTheme="minorHAnsi" w:hAnsi="Arial" w:cs="Arial"/>
                <w:b/>
                <w:bCs/>
                <w:sz w:val="24"/>
                <w:szCs w:val="24"/>
                <w:lang w:val="en-IN" w:bidi="hi-IN"/>
              </w:rPr>
              <w:t>(viii) Place where the minutes if open to the public are available?</w:t>
            </w:r>
          </w:p>
        </w:tc>
        <w:tc>
          <w:tcPr>
            <w:tcW w:w="12757" w:type="dxa"/>
            <w:vMerge/>
          </w:tcPr>
          <w:p w:rsidR="0012392A" w:rsidRPr="00A366B9" w:rsidRDefault="0012392A" w:rsidP="0012392A">
            <w:pPr>
              <w:widowControl/>
              <w:adjustRightInd w:val="0"/>
              <w:spacing w:before="240" w:after="240" w:line="276" w:lineRule="auto"/>
              <w:rPr>
                <w:rFonts w:ascii="Arial" w:eastAsiaTheme="minorHAnsi" w:hAnsi="Arial" w:cs="Arial"/>
                <w:b/>
                <w:bCs/>
                <w:sz w:val="24"/>
                <w:szCs w:val="24"/>
                <w:lang w:val="en-IN" w:bidi="hi-IN"/>
              </w:rPr>
            </w:pPr>
          </w:p>
        </w:tc>
      </w:tr>
    </w:tbl>
    <w:p w:rsidR="00DE21D4" w:rsidRPr="00A366B9" w:rsidRDefault="00DE21D4">
      <w:pPr>
        <w:rPr>
          <w:b/>
          <w:bCs/>
        </w:rPr>
      </w:pPr>
    </w:p>
    <w:sectPr w:rsidR="00DE21D4" w:rsidRPr="00A366B9" w:rsidSect="00A60940">
      <w:pgSz w:w="20160" w:h="12240" w:orient="landscape" w:code="5"/>
      <w:pgMar w:top="720" w:right="720" w:bottom="720" w:left="720" w:header="708" w:footer="708" w:gutter="0"/>
      <w:pgBorders w:offsetFrom="page">
        <w:top w:val="single" w:sz="24" w:space="24" w:color="auto" w:shadow="1"/>
        <w:left w:val="single" w:sz="24" w:space="24" w:color="auto" w:shadow="1"/>
        <w:bottom w:val="single" w:sz="24" w:space="24" w:color="auto" w:shadow="1"/>
        <w:right w:val="single" w:sz="2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967543"/>
    <w:multiLevelType w:val="hybridMultilevel"/>
    <w:tmpl w:val="C3FC412A"/>
    <w:lvl w:ilvl="0" w:tplc="710EA120">
      <w:numFmt w:val="bullet"/>
      <w:lvlText w:val="•"/>
      <w:lvlJc w:val="left"/>
      <w:pPr>
        <w:ind w:left="804" w:hanging="360"/>
      </w:pPr>
      <w:rPr>
        <w:rFonts w:hint="default"/>
        <w:lang w:val="en-US" w:eastAsia="en-US" w:bidi="ar-SA"/>
      </w:rPr>
    </w:lvl>
    <w:lvl w:ilvl="1" w:tplc="40090003" w:tentative="1">
      <w:start w:val="1"/>
      <w:numFmt w:val="bullet"/>
      <w:lvlText w:val="o"/>
      <w:lvlJc w:val="left"/>
      <w:pPr>
        <w:ind w:left="1524" w:hanging="360"/>
      </w:pPr>
      <w:rPr>
        <w:rFonts w:ascii="Courier New" w:hAnsi="Courier New" w:cs="Courier New" w:hint="default"/>
      </w:rPr>
    </w:lvl>
    <w:lvl w:ilvl="2" w:tplc="40090005" w:tentative="1">
      <w:start w:val="1"/>
      <w:numFmt w:val="bullet"/>
      <w:lvlText w:val=""/>
      <w:lvlJc w:val="left"/>
      <w:pPr>
        <w:ind w:left="2244" w:hanging="360"/>
      </w:pPr>
      <w:rPr>
        <w:rFonts w:ascii="Wingdings" w:hAnsi="Wingdings" w:hint="default"/>
      </w:rPr>
    </w:lvl>
    <w:lvl w:ilvl="3" w:tplc="40090001" w:tentative="1">
      <w:start w:val="1"/>
      <w:numFmt w:val="bullet"/>
      <w:lvlText w:val=""/>
      <w:lvlJc w:val="left"/>
      <w:pPr>
        <w:ind w:left="2964" w:hanging="360"/>
      </w:pPr>
      <w:rPr>
        <w:rFonts w:ascii="Symbol" w:hAnsi="Symbol" w:hint="default"/>
      </w:rPr>
    </w:lvl>
    <w:lvl w:ilvl="4" w:tplc="40090003" w:tentative="1">
      <w:start w:val="1"/>
      <w:numFmt w:val="bullet"/>
      <w:lvlText w:val="o"/>
      <w:lvlJc w:val="left"/>
      <w:pPr>
        <w:ind w:left="3684" w:hanging="360"/>
      </w:pPr>
      <w:rPr>
        <w:rFonts w:ascii="Courier New" w:hAnsi="Courier New" w:cs="Courier New" w:hint="default"/>
      </w:rPr>
    </w:lvl>
    <w:lvl w:ilvl="5" w:tplc="40090005" w:tentative="1">
      <w:start w:val="1"/>
      <w:numFmt w:val="bullet"/>
      <w:lvlText w:val=""/>
      <w:lvlJc w:val="left"/>
      <w:pPr>
        <w:ind w:left="4404" w:hanging="360"/>
      </w:pPr>
      <w:rPr>
        <w:rFonts w:ascii="Wingdings" w:hAnsi="Wingdings" w:hint="default"/>
      </w:rPr>
    </w:lvl>
    <w:lvl w:ilvl="6" w:tplc="40090001" w:tentative="1">
      <w:start w:val="1"/>
      <w:numFmt w:val="bullet"/>
      <w:lvlText w:val=""/>
      <w:lvlJc w:val="left"/>
      <w:pPr>
        <w:ind w:left="5124" w:hanging="360"/>
      </w:pPr>
      <w:rPr>
        <w:rFonts w:ascii="Symbol" w:hAnsi="Symbol" w:hint="default"/>
      </w:rPr>
    </w:lvl>
    <w:lvl w:ilvl="7" w:tplc="40090003" w:tentative="1">
      <w:start w:val="1"/>
      <w:numFmt w:val="bullet"/>
      <w:lvlText w:val="o"/>
      <w:lvlJc w:val="left"/>
      <w:pPr>
        <w:ind w:left="5844" w:hanging="360"/>
      </w:pPr>
      <w:rPr>
        <w:rFonts w:ascii="Courier New" w:hAnsi="Courier New" w:cs="Courier New" w:hint="default"/>
      </w:rPr>
    </w:lvl>
    <w:lvl w:ilvl="8" w:tplc="40090005" w:tentative="1">
      <w:start w:val="1"/>
      <w:numFmt w:val="bullet"/>
      <w:lvlText w:val=""/>
      <w:lvlJc w:val="left"/>
      <w:pPr>
        <w:ind w:left="6564" w:hanging="360"/>
      </w:pPr>
      <w:rPr>
        <w:rFonts w:ascii="Wingdings" w:hAnsi="Wingdings" w:hint="default"/>
      </w:rPr>
    </w:lvl>
  </w:abstractNum>
  <w:abstractNum w:abstractNumId="1">
    <w:nsid w:val="5E7B6E4F"/>
    <w:multiLevelType w:val="hybridMultilevel"/>
    <w:tmpl w:val="4E487FD2"/>
    <w:lvl w:ilvl="0" w:tplc="39109C84">
      <w:numFmt w:val="bullet"/>
      <w:lvlText w:val="•"/>
      <w:lvlJc w:val="left"/>
      <w:pPr>
        <w:ind w:left="725" w:hanging="720"/>
      </w:pPr>
      <w:rPr>
        <w:rFonts w:ascii="Verdana" w:eastAsia="Verdana" w:hAnsi="Verdana" w:cs="Verdana" w:hint="default"/>
        <w:b w:val="0"/>
        <w:bCs w:val="0"/>
        <w:i w:val="0"/>
        <w:iCs w:val="0"/>
        <w:spacing w:val="0"/>
        <w:w w:val="111"/>
        <w:sz w:val="22"/>
        <w:szCs w:val="22"/>
        <w:lang w:val="en-US" w:eastAsia="en-US" w:bidi="ar-SA"/>
      </w:rPr>
    </w:lvl>
    <w:lvl w:ilvl="1" w:tplc="23361294">
      <w:numFmt w:val="bullet"/>
      <w:lvlText w:val="•"/>
      <w:lvlJc w:val="left"/>
      <w:pPr>
        <w:ind w:left="1738" w:hanging="720"/>
      </w:pPr>
      <w:rPr>
        <w:rFonts w:hint="default"/>
        <w:lang w:val="en-US" w:eastAsia="en-US" w:bidi="ar-SA"/>
      </w:rPr>
    </w:lvl>
    <w:lvl w:ilvl="2" w:tplc="36083306">
      <w:numFmt w:val="bullet"/>
      <w:lvlText w:val="•"/>
      <w:lvlJc w:val="left"/>
      <w:pPr>
        <w:ind w:left="2756" w:hanging="720"/>
      </w:pPr>
      <w:rPr>
        <w:rFonts w:hint="default"/>
        <w:lang w:val="en-US" w:eastAsia="en-US" w:bidi="ar-SA"/>
      </w:rPr>
    </w:lvl>
    <w:lvl w:ilvl="3" w:tplc="DB32AAA0">
      <w:numFmt w:val="bullet"/>
      <w:lvlText w:val="•"/>
      <w:lvlJc w:val="left"/>
      <w:pPr>
        <w:ind w:left="3774" w:hanging="720"/>
      </w:pPr>
      <w:rPr>
        <w:rFonts w:hint="default"/>
        <w:lang w:val="en-US" w:eastAsia="en-US" w:bidi="ar-SA"/>
      </w:rPr>
    </w:lvl>
    <w:lvl w:ilvl="4" w:tplc="4F6079FA">
      <w:numFmt w:val="bullet"/>
      <w:lvlText w:val="•"/>
      <w:lvlJc w:val="left"/>
      <w:pPr>
        <w:ind w:left="4792" w:hanging="720"/>
      </w:pPr>
      <w:rPr>
        <w:rFonts w:hint="default"/>
        <w:lang w:val="en-US" w:eastAsia="en-US" w:bidi="ar-SA"/>
      </w:rPr>
    </w:lvl>
    <w:lvl w:ilvl="5" w:tplc="F162D5A6">
      <w:numFmt w:val="bullet"/>
      <w:lvlText w:val="•"/>
      <w:lvlJc w:val="left"/>
      <w:pPr>
        <w:ind w:left="5811" w:hanging="720"/>
      </w:pPr>
      <w:rPr>
        <w:rFonts w:hint="default"/>
        <w:lang w:val="en-US" w:eastAsia="en-US" w:bidi="ar-SA"/>
      </w:rPr>
    </w:lvl>
    <w:lvl w:ilvl="6" w:tplc="ED706C52">
      <w:numFmt w:val="bullet"/>
      <w:lvlText w:val="•"/>
      <w:lvlJc w:val="left"/>
      <w:pPr>
        <w:ind w:left="6829" w:hanging="720"/>
      </w:pPr>
      <w:rPr>
        <w:rFonts w:hint="default"/>
        <w:lang w:val="en-US" w:eastAsia="en-US" w:bidi="ar-SA"/>
      </w:rPr>
    </w:lvl>
    <w:lvl w:ilvl="7" w:tplc="2552151C">
      <w:numFmt w:val="bullet"/>
      <w:lvlText w:val="•"/>
      <w:lvlJc w:val="left"/>
      <w:pPr>
        <w:ind w:left="7847" w:hanging="720"/>
      </w:pPr>
      <w:rPr>
        <w:rFonts w:hint="default"/>
        <w:lang w:val="en-US" w:eastAsia="en-US" w:bidi="ar-SA"/>
      </w:rPr>
    </w:lvl>
    <w:lvl w:ilvl="8" w:tplc="2EF6FD4E">
      <w:numFmt w:val="bullet"/>
      <w:lvlText w:val="•"/>
      <w:lvlJc w:val="left"/>
      <w:pPr>
        <w:ind w:left="8865" w:hanging="72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25E"/>
    <w:rsid w:val="0012392A"/>
    <w:rsid w:val="001718CA"/>
    <w:rsid w:val="0021425E"/>
    <w:rsid w:val="006428C8"/>
    <w:rsid w:val="006B5063"/>
    <w:rsid w:val="00A366B9"/>
    <w:rsid w:val="00A372AB"/>
    <w:rsid w:val="00A60940"/>
    <w:rsid w:val="00DE21D4"/>
    <w:rsid w:val="00F7570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00F2D-FA1C-4593-B78F-E853721F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2392A"/>
    <w:pPr>
      <w:widowControl w:val="0"/>
      <w:autoSpaceDE w:val="0"/>
      <w:autoSpaceDN w:val="0"/>
      <w:spacing w:after="0" w:line="240" w:lineRule="auto"/>
    </w:pPr>
    <w:rPr>
      <w:rFonts w:ascii="Verdana" w:eastAsia="Verdana" w:hAnsi="Verdana" w:cs="Verdana"/>
      <w:szCs w:val="22"/>
      <w:lang w:val="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2392A"/>
  </w:style>
  <w:style w:type="table" w:styleId="GridTable4-Accent1">
    <w:name w:val="Grid Table 4 Accent 1"/>
    <w:basedOn w:val="TableNormal"/>
    <w:uiPriority w:val="49"/>
    <w:rsid w:val="0012392A"/>
    <w:pPr>
      <w:widowControl w:val="0"/>
      <w:autoSpaceDE w:val="0"/>
      <w:autoSpaceDN w:val="0"/>
      <w:spacing w:after="0" w:line="240" w:lineRule="auto"/>
    </w:pPr>
    <w:rPr>
      <w:szCs w:val="22"/>
      <w:lang w:val="en-US" w:bidi="ar-SA"/>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12392A"/>
    <w:rPr>
      <w:color w:val="0563C1" w:themeColor="hyperlink"/>
      <w:u w:val="single"/>
    </w:rPr>
  </w:style>
  <w:style w:type="table" w:styleId="TableGrid">
    <w:name w:val="Table Grid"/>
    <w:basedOn w:val="TableNormal"/>
    <w:uiPriority w:val="39"/>
    <w:rsid w:val="00A60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yavart-rrb.com/Annaul_Report/Aryavart4thAnnualReport.pdf" TargetMode="External"/><Relationship Id="rId3" Type="http://schemas.openxmlformats.org/officeDocument/2006/relationships/styles" Target="styles.xml"/><Relationship Id="rId7" Type="http://schemas.openxmlformats.org/officeDocument/2006/relationships/hyperlink" Target="https://lddashboard.legislative.gov.in/sites/default/files/A1976-2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ryavart-rrb.com/pressrelease/BOD.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ryavart-rrb.com/balance_she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65088-9DE6-48D6-AF97-DE3BBBB0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Aryavart ho</dc:creator>
  <cp:keywords/>
  <dc:description/>
  <cp:lastModifiedBy>ACER</cp:lastModifiedBy>
  <cp:revision>2</cp:revision>
  <dcterms:created xsi:type="dcterms:W3CDTF">2025-05-03T05:51:00Z</dcterms:created>
  <dcterms:modified xsi:type="dcterms:W3CDTF">2025-05-03T05:51:00Z</dcterms:modified>
</cp:coreProperties>
</file>